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6350E">
      <w:pPr>
        <w:spacing w:line="900" w:lineRule="exact"/>
        <w:jc w:val="center"/>
        <w:rPr>
          <w:rFonts w:hint="eastAsia" w:ascii="方正小标宋_GBK" w:hAnsi="方正小标宋_GBK" w:eastAsia="方正小标宋_GBK" w:cs="方正小标宋_GBK"/>
          <w:bCs/>
          <w:sz w:val="44"/>
          <w:szCs w:val="44"/>
        </w:rPr>
      </w:pPr>
      <w:bookmarkStart w:id="0" w:name="_Hlk127559419"/>
    </w:p>
    <w:p w14:paraId="66A7995A">
      <w:pPr>
        <w:spacing w:line="900" w:lineRule="exact"/>
        <w:jc w:val="center"/>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泰顺县小额</w:t>
      </w:r>
      <w:r>
        <w:rPr>
          <w:rFonts w:hint="eastAsia" w:ascii="方正小标宋_GBK" w:hAnsi="方正小标宋_GBK" w:eastAsia="方正小标宋_GBK" w:cs="方正小标宋_GBK"/>
          <w:bCs/>
          <w:sz w:val="40"/>
          <w:szCs w:val="40"/>
          <w:lang w:val="en-US" w:eastAsia="zh-CN"/>
        </w:rPr>
        <w:t>交通</w:t>
      </w:r>
      <w:r>
        <w:rPr>
          <w:rFonts w:hint="eastAsia" w:ascii="方正小标宋_GBK" w:hAnsi="方正小标宋_GBK" w:eastAsia="方正小标宋_GBK" w:cs="方正小标宋_GBK"/>
          <w:bCs/>
          <w:sz w:val="40"/>
          <w:szCs w:val="40"/>
        </w:rPr>
        <w:t>工程</w:t>
      </w:r>
      <w:r>
        <w:rPr>
          <w:rFonts w:hint="eastAsia" w:ascii="方正小标宋_GBK" w:hAnsi="方正小标宋_GBK" w:eastAsia="方正小标宋_GBK" w:cs="方正小标宋_GBK"/>
          <w:bCs/>
          <w:sz w:val="40"/>
          <w:szCs w:val="40"/>
          <w:lang w:val="en-US" w:eastAsia="zh-CN"/>
        </w:rPr>
        <w:t>施工</w:t>
      </w:r>
      <w:r>
        <w:rPr>
          <w:rFonts w:hint="eastAsia" w:ascii="方正小标宋_GBK" w:hAnsi="方正小标宋_GBK" w:eastAsia="方正小标宋_GBK" w:cs="方正小标宋_GBK"/>
          <w:bCs/>
          <w:sz w:val="40"/>
          <w:szCs w:val="40"/>
        </w:rPr>
        <w:t>项目发包文件</w:t>
      </w:r>
      <w:r>
        <w:rPr>
          <w:rFonts w:hint="eastAsia" w:ascii="宋体" w:hAnsi="宋体" w:cs="宋体"/>
          <w:b/>
          <w:sz w:val="40"/>
          <w:szCs w:val="40"/>
        </w:rPr>
        <w:t>参考</w:t>
      </w:r>
      <w:r>
        <w:rPr>
          <w:rFonts w:hint="eastAsia" w:ascii="方正小标宋_GBK" w:hAnsi="方正小标宋_GBK" w:eastAsia="方正小标宋_GBK" w:cs="方正小标宋_GBK"/>
          <w:bCs/>
          <w:sz w:val="40"/>
          <w:szCs w:val="40"/>
        </w:rPr>
        <w:t>文本</w:t>
      </w:r>
    </w:p>
    <w:p w14:paraId="51253855">
      <w:pPr>
        <w:spacing w:line="9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6</w:t>
      </w:r>
      <w:r>
        <w:rPr>
          <w:rFonts w:hint="eastAsia" w:ascii="方正小标宋_GBK" w:hAnsi="方正小标宋_GBK" w:eastAsia="方正小标宋_GBK" w:cs="方正小标宋_GBK"/>
          <w:bCs/>
          <w:sz w:val="44"/>
          <w:szCs w:val="44"/>
        </w:rPr>
        <w:t>版）</w:t>
      </w:r>
    </w:p>
    <w:bookmarkEnd w:id="0"/>
    <w:p w14:paraId="439837D5">
      <w:pPr>
        <w:wordWrap w:val="0"/>
        <w:topLinePunct/>
        <w:autoSpaceDE/>
        <w:spacing w:line="900" w:lineRule="exact"/>
        <w:ind w:firstLine="3080" w:firstLineChars="700"/>
        <w:jc w:val="both"/>
        <w:rPr>
          <w:rFonts w:hint="eastAsia" w:ascii="方正小标宋_GBK" w:hAnsi="方正小标宋_GBK" w:eastAsia="方正小标宋_GBK" w:cs="方正小标宋_GBK"/>
          <w:bCs/>
          <w:sz w:val="44"/>
          <w:szCs w:val="44"/>
        </w:rPr>
      </w:pPr>
    </w:p>
    <w:p w14:paraId="195B95F0">
      <w:pPr>
        <w:pStyle w:val="2"/>
        <w:ind w:firstLine="440"/>
        <w:rPr>
          <w:rFonts w:hint="eastAsia"/>
          <w:sz w:val="44"/>
          <w:szCs w:val="44"/>
        </w:rPr>
      </w:pPr>
    </w:p>
    <w:p w14:paraId="45A711DA">
      <w:pPr>
        <w:wordWrap w:val="0"/>
        <w:topLinePunct/>
        <w:autoSpaceDE/>
        <w:jc w:val="center"/>
        <w:rPr>
          <w:rFonts w:hint="eastAsia" w:ascii="方正大标宋简体" w:hAnsi="方正大标宋简体" w:eastAsia="方正大标宋简体" w:cs="方正大标宋简体"/>
          <w:bCs/>
          <w:sz w:val="44"/>
          <w:szCs w:val="44"/>
        </w:rPr>
      </w:pPr>
    </w:p>
    <w:p w14:paraId="2EEC7386">
      <w:pPr>
        <w:wordWrap w:val="0"/>
        <w:topLinePunct/>
        <w:autoSpaceDE/>
        <w:jc w:val="center"/>
        <w:rPr>
          <w:rFonts w:hint="eastAsia"/>
          <w:b/>
          <w:sz w:val="48"/>
          <w:szCs w:val="48"/>
        </w:rPr>
      </w:pPr>
    </w:p>
    <w:p w14:paraId="197B4E4F">
      <w:pPr>
        <w:wordWrap w:val="0"/>
        <w:topLinePunct/>
        <w:autoSpaceDE/>
        <w:jc w:val="center"/>
        <w:rPr>
          <w:rFonts w:hint="eastAsia"/>
          <w:b/>
          <w:sz w:val="48"/>
          <w:szCs w:val="48"/>
        </w:rPr>
      </w:pPr>
    </w:p>
    <w:p w14:paraId="4B4685C8">
      <w:pPr>
        <w:wordWrap w:val="0"/>
        <w:topLinePunct/>
        <w:autoSpaceDE/>
        <w:jc w:val="center"/>
        <w:rPr>
          <w:rFonts w:hint="eastAsia"/>
          <w:b/>
          <w:sz w:val="48"/>
          <w:szCs w:val="48"/>
        </w:rPr>
      </w:pPr>
    </w:p>
    <w:p w14:paraId="3DCFB7EF">
      <w:pPr>
        <w:wordWrap w:val="0"/>
        <w:topLinePunct/>
        <w:autoSpaceDE/>
        <w:jc w:val="center"/>
        <w:rPr>
          <w:rFonts w:hint="eastAsia"/>
          <w:b/>
          <w:sz w:val="48"/>
          <w:szCs w:val="48"/>
        </w:rPr>
      </w:pPr>
    </w:p>
    <w:p w14:paraId="445B5896">
      <w:pPr>
        <w:wordWrap w:val="0"/>
        <w:topLinePunct/>
        <w:autoSpaceDE/>
        <w:jc w:val="center"/>
        <w:rPr>
          <w:rFonts w:hint="eastAsia"/>
          <w:b/>
          <w:sz w:val="48"/>
          <w:szCs w:val="48"/>
        </w:rPr>
      </w:pPr>
    </w:p>
    <w:p w14:paraId="0EB3A976">
      <w:pPr>
        <w:wordWrap w:val="0"/>
        <w:topLinePunct/>
        <w:autoSpaceDE/>
        <w:jc w:val="center"/>
        <w:rPr>
          <w:rFonts w:hint="eastAsia"/>
          <w:b/>
          <w:sz w:val="48"/>
          <w:szCs w:val="48"/>
        </w:rPr>
      </w:pPr>
    </w:p>
    <w:p w14:paraId="47D60EBF">
      <w:pPr>
        <w:wordWrap w:val="0"/>
        <w:topLinePunct/>
        <w:autoSpaceDE/>
        <w:jc w:val="center"/>
        <w:rPr>
          <w:rFonts w:hint="eastAsia"/>
          <w:b/>
          <w:sz w:val="48"/>
          <w:szCs w:val="48"/>
        </w:rPr>
      </w:pPr>
    </w:p>
    <w:p w14:paraId="7C3DB02E">
      <w:pPr>
        <w:wordWrap w:val="0"/>
        <w:topLinePunct/>
        <w:autoSpaceDE/>
        <w:jc w:val="center"/>
        <w:rPr>
          <w:rFonts w:hint="eastAsia"/>
          <w:b/>
          <w:sz w:val="48"/>
          <w:szCs w:val="48"/>
        </w:rPr>
      </w:pPr>
      <w:r>
        <w:rPr>
          <w:rFonts w:hint="eastAsia"/>
          <w:b/>
          <w:sz w:val="48"/>
          <w:szCs w:val="48"/>
        </w:rPr>
        <w:t xml:space="preserve"> </w:t>
      </w:r>
    </w:p>
    <w:p w14:paraId="35E55614">
      <w:pPr>
        <w:pStyle w:val="2"/>
        <w:ind w:firstLine="482"/>
        <w:rPr>
          <w:rFonts w:hint="eastAsia"/>
          <w:b/>
          <w:sz w:val="48"/>
          <w:szCs w:val="48"/>
        </w:rPr>
      </w:pPr>
    </w:p>
    <w:p w14:paraId="752F3017">
      <w:pPr>
        <w:pStyle w:val="34"/>
        <w:ind w:left="2400"/>
        <w:rPr>
          <w:rFonts w:hint="eastAsia"/>
          <w:b/>
          <w:sz w:val="48"/>
          <w:szCs w:val="48"/>
        </w:rPr>
      </w:pPr>
    </w:p>
    <w:p w14:paraId="27DDA2B6">
      <w:pPr>
        <w:jc w:val="center"/>
        <w:rPr>
          <w:rFonts w:hint="eastAsia"/>
          <w:b/>
          <w:sz w:val="36"/>
          <w:szCs w:val="36"/>
        </w:rPr>
      </w:pPr>
    </w:p>
    <w:p w14:paraId="6ABA9B59">
      <w:pPr>
        <w:jc w:val="center"/>
        <w:rPr>
          <w:rFonts w:hint="eastAsia"/>
          <w:b/>
          <w:sz w:val="36"/>
          <w:szCs w:val="36"/>
        </w:rPr>
      </w:pPr>
    </w:p>
    <w:p w14:paraId="065A3511">
      <w:pPr>
        <w:jc w:val="center"/>
        <w:rPr>
          <w:rFonts w:hint="eastAsia"/>
          <w:b/>
          <w:sz w:val="36"/>
          <w:szCs w:val="36"/>
        </w:rPr>
      </w:pPr>
    </w:p>
    <w:p w14:paraId="327F5E2B">
      <w:pPr>
        <w:jc w:val="center"/>
        <w:rPr>
          <w:rFonts w:hint="eastAsia"/>
          <w:b/>
          <w:sz w:val="36"/>
          <w:szCs w:val="36"/>
        </w:rPr>
      </w:pPr>
    </w:p>
    <w:p w14:paraId="0D62C5DC">
      <w:pPr>
        <w:autoSpaceDE/>
        <w:autoSpaceDN/>
        <w:adjustRightInd/>
        <w:jc w:val="center"/>
        <w:rPr>
          <w:rFonts w:hint="eastAsia"/>
          <w:b/>
          <w:kern w:val="2"/>
          <w:sz w:val="36"/>
          <w:szCs w:val="36"/>
        </w:rPr>
      </w:pPr>
      <w:r>
        <w:rPr>
          <w:rFonts w:hint="eastAsia"/>
          <w:b/>
          <w:kern w:val="2"/>
          <w:sz w:val="36"/>
          <w:szCs w:val="36"/>
        </w:rPr>
        <w:t>二O二</w:t>
      </w:r>
      <w:r>
        <w:rPr>
          <w:rFonts w:hint="eastAsia"/>
          <w:b/>
          <w:kern w:val="2"/>
          <w:sz w:val="36"/>
          <w:szCs w:val="36"/>
          <w:lang w:val="en-US" w:eastAsia="zh-CN"/>
        </w:rPr>
        <w:t>六</w:t>
      </w:r>
      <w:r>
        <w:rPr>
          <w:rFonts w:hint="eastAsia"/>
          <w:b/>
          <w:kern w:val="2"/>
          <w:sz w:val="36"/>
          <w:szCs w:val="36"/>
        </w:rPr>
        <w:t>年</w:t>
      </w:r>
      <w:r>
        <w:rPr>
          <w:rFonts w:hint="eastAsia"/>
          <w:b/>
          <w:kern w:val="2"/>
          <w:sz w:val="36"/>
          <w:szCs w:val="36"/>
          <w:lang w:val="en-US" w:eastAsia="zh-CN"/>
        </w:rPr>
        <w:t>五</w:t>
      </w:r>
      <w:r>
        <w:rPr>
          <w:rFonts w:hint="eastAsia"/>
          <w:b/>
          <w:kern w:val="2"/>
          <w:sz w:val="36"/>
          <w:szCs w:val="36"/>
        </w:rPr>
        <w:t>月</w:t>
      </w:r>
    </w:p>
    <w:p w14:paraId="4191FA73">
      <w:pPr>
        <w:spacing w:line="300" w:lineRule="auto"/>
        <w:jc w:val="center"/>
        <w:rPr>
          <w:rFonts w:eastAsia="黑体"/>
          <w:w w:val="80"/>
          <w:sz w:val="52"/>
          <w:szCs w:val="52"/>
        </w:rPr>
      </w:pPr>
    </w:p>
    <w:p w14:paraId="4D6D2686">
      <w:pPr>
        <w:spacing w:line="360" w:lineRule="auto"/>
        <w:jc w:val="center"/>
        <w:rPr>
          <w:sz w:val="32"/>
          <w:szCs w:val="32"/>
        </w:rPr>
        <w:sectPr>
          <w:headerReference r:id="rId4" w:type="default"/>
          <w:footerReference r:id="rId6" w:type="default"/>
          <w:headerReference r:id="rId5" w:type="even"/>
          <w:footerReference r:id="rId7" w:type="even"/>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26" w:charSpace="0"/>
        </w:sectPr>
      </w:pPr>
    </w:p>
    <w:p w14:paraId="3995F5FF">
      <w:pPr>
        <w:spacing w:line="360" w:lineRule="auto"/>
        <w:jc w:val="center"/>
        <w:rPr>
          <w:rFonts w:eastAsia="黑体"/>
          <w:sz w:val="44"/>
        </w:rPr>
      </w:pPr>
      <w:bookmarkStart w:id="1" w:name="bookmark1"/>
      <w:bookmarkEnd w:id="1"/>
      <w:r>
        <w:rPr>
          <w:rFonts w:eastAsia="黑体"/>
          <w:sz w:val="44"/>
        </w:rPr>
        <w:t>使用指南</w:t>
      </w:r>
    </w:p>
    <w:p w14:paraId="63012242">
      <w:pPr>
        <w:spacing w:line="360" w:lineRule="auto"/>
        <w:ind w:firstLine="396"/>
        <w:jc w:val="center"/>
        <w:rPr>
          <w:rFonts w:eastAsia="仿宋_GB2312"/>
          <w:szCs w:val="21"/>
        </w:rPr>
      </w:pPr>
    </w:p>
    <w:p w14:paraId="388DAEF9">
      <w:pPr>
        <w:spacing w:line="360" w:lineRule="auto"/>
        <w:ind w:firstLine="420" w:firstLineChars="200"/>
        <w:rPr>
          <w:rFonts w:eastAsia="黑体"/>
          <w:szCs w:val="21"/>
        </w:rPr>
      </w:pPr>
      <w:r>
        <w:rPr>
          <w:rFonts w:eastAsia="黑体"/>
          <w:szCs w:val="21"/>
        </w:rPr>
        <w:t>一、总体要求</w:t>
      </w:r>
    </w:p>
    <w:p w14:paraId="3B449186">
      <w:pPr>
        <w:spacing w:line="360" w:lineRule="auto"/>
        <w:ind w:firstLine="420" w:firstLineChars="200"/>
        <w:rPr>
          <w:szCs w:val="21"/>
        </w:rPr>
      </w:pPr>
      <w:r>
        <w:rPr>
          <w:rFonts w:hint="eastAsia"/>
          <w:szCs w:val="21"/>
        </w:rPr>
        <w:t>（一）本《</w:t>
      </w:r>
      <w:r>
        <w:rPr>
          <w:rFonts w:hint="eastAsia"/>
          <w:szCs w:val="21"/>
          <w:lang w:eastAsia="zh-CN"/>
        </w:rPr>
        <w:t>参考文本</w:t>
      </w:r>
      <w:r>
        <w:rPr>
          <w:rFonts w:hint="eastAsia"/>
          <w:szCs w:val="21"/>
        </w:rPr>
        <w:t>》适用于</w:t>
      </w:r>
      <w:r>
        <w:rPr>
          <w:rFonts w:hint="eastAsia"/>
          <w:szCs w:val="21"/>
          <w:lang w:eastAsia="zh-CN"/>
        </w:rPr>
        <w:t>泰顺县小额工程阳光</w:t>
      </w:r>
      <w:r>
        <w:rPr>
          <w:rFonts w:hint="eastAsia"/>
          <w:szCs w:val="21"/>
          <w:lang w:val="en-US" w:eastAsia="zh-CN"/>
        </w:rPr>
        <w:t>系统交易的</w:t>
      </w:r>
      <w:r>
        <w:rPr>
          <w:rFonts w:hint="eastAsia"/>
          <w:szCs w:val="21"/>
        </w:rPr>
        <w:t>小额工程</w:t>
      </w:r>
      <w:r>
        <w:rPr>
          <w:rFonts w:hint="eastAsia"/>
          <w:szCs w:val="21"/>
          <w:lang w:val="en-US" w:eastAsia="zh-CN"/>
        </w:rPr>
        <w:t>交通</w:t>
      </w:r>
      <w:r>
        <w:rPr>
          <w:rFonts w:hint="eastAsia"/>
          <w:szCs w:val="21"/>
        </w:rPr>
        <w:t>项目</w:t>
      </w:r>
      <w:r>
        <w:rPr>
          <w:rFonts w:hint="eastAsia"/>
          <w:szCs w:val="21"/>
          <w:lang w:eastAsia="zh-CN"/>
        </w:rPr>
        <w:t>，</w:t>
      </w:r>
      <w:r>
        <w:rPr>
          <w:rFonts w:hint="eastAsia"/>
          <w:szCs w:val="21"/>
        </w:rPr>
        <w:t>发包人应使用本</w:t>
      </w:r>
      <w:r>
        <w:rPr>
          <w:rFonts w:hint="eastAsia"/>
          <w:szCs w:val="21"/>
          <w:lang w:eastAsia="zh-CN"/>
        </w:rPr>
        <w:t>参考文本</w:t>
      </w:r>
      <w:r>
        <w:rPr>
          <w:rFonts w:hint="eastAsia"/>
          <w:szCs w:val="21"/>
        </w:rPr>
        <w:t>编制发包文件</w:t>
      </w:r>
      <w:r>
        <w:rPr>
          <w:szCs w:val="21"/>
        </w:rPr>
        <w:t>。</w:t>
      </w:r>
    </w:p>
    <w:p w14:paraId="49C1919E">
      <w:pPr>
        <w:spacing w:line="360" w:lineRule="auto"/>
        <w:ind w:firstLine="420" w:firstLineChars="200"/>
        <w:rPr>
          <w:rFonts w:ascii="宋体" w:hAnsi="宋体"/>
          <w:szCs w:val="21"/>
        </w:rPr>
      </w:pPr>
      <w:r>
        <w:rPr>
          <w:rFonts w:hint="eastAsia" w:ascii="宋体" w:hAnsi="宋体"/>
          <w:szCs w:val="21"/>
        </w:rPr>
        <w:t>（二）有下划线和竞包人须知前附表空白部分，由发包人根据发包项目实际情况和国家有关法律法规规定进行填写，文字应采用斜体字；确实不需要填写内容的，用“/”标示</w:t>
      </w:r>
      <w:r>
        <w:rPr>
          <w:rFonts w:ascii="宋体" w:hAnsi="宋体"/>
          <w:szCs w:val="21"/>
        </w:rPr>
        <w:t>。</w:t>
      </w:r>
    </w:p>
    <w:p w14:paraId="7501E402">
      <w:pPr>
        <w:spacing w:line="360" w:lineRule="auto"/>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）除可选择部分、下划线空白部分由发包人根据以上两项进行选择或填写外，其他文字不得改动</w:t>
      </w:r>
      <w:r>
        <w:rPr>
          <w:rFonts w:hint="eastAsia" w:ascii="宋体" w:hAnsi="宋体"/>
          <w:szCs w:val="21"/>
          <w:lang w:eastAsia="zh-CN"/>
        </w:rPr>
        <w:t>。</w:t>
      </w:r>
    </w:p>
    <w:p w14:paraId="1B09F471">
      <w:pPr>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四</w:t>
      </w:r>
      <w:r>
        <w:rPr>
          <w:rFonts w:hint="eastAsia" w:ascii="宋体" w:hAnsi="宋体"/>
          <w:szCs w:val="21"/>
        </w:rPr>
        <w:t>）</w:t>
      </w:r>
      <w:r>
        <w:rPr>
          <w:rFonts w:hint="eastAsia" w:ascii="宋体" w:hAnsi="宋体"/>
          <w:szCs w:val="21"/>
          <w:lang w:eastAsia="zh-CN"/>
        </w:rPr>
        <w:t>发包人</w:t>
      </w:r>
      <w:r>
        <w:rPr>
          <w:rFonts w:ascii="宋体" w:hAnsi="宋体"/>
          <w:szCs w:val="21"/>
        </w:rPr>
        <w:t>根据《</w:t>
      </w:r>
      <w:r>
        <w:rPr>
          <w:rFonts w:hint="eastAsia" w:ascii="宋体" w:hAnsi="宋体"/>
          <w:szCs w:val="21"/>
          <w:lang w:eastAsia="zh-CN"/>
        </w:rPr>
        <w:t>参考文本</w:t>
      </w:r>
      <w:r>
        <w:rPr>
          <w:rFonts w:ascii="宋体" w:hAnsi="宋体"/>
          <w:szCs w:val="21"/>
        </w:rPr>
        <w:t>》编制 “B.项目专用合同条款”时，可根据</w:t>
      </w:r>
      <w:r>
        <w:rPr>
          <w:rFonts w:hint="eastAsia" w:ascii="宋体" w:hAnsi="宋体"/>
          <w:szCs w:val="21"/>
          <w:lang w:eastAsia="zh-CN"/>
        </w:rPr>
        <w:t>发包</w:t>
      </w:r>
      <w:r>
        <w:rPr>
          <w:rFonts w:ascii="宋体" w:hAnsi="宋体"/>
          <w:szCs w:val="21"/>
        </w:rPr>
        <w:t>项目的具体特点和实际需要，对“通用合同条款”及“A.公路工程专用合同条款”进行补充、细化，除“通用合同条款”明确“专用合同条款”可作出不同约定以及“A.公路工程专用合同条款”明确“B.项目专用合同条款”可作出不同约定外，补充和细化的内容不得与“通用合同条款”及“A.公路工程专用合同条款”强制性规定相抵触。同时，补充、细化或约定的不同内容，不得违反法律、行政法规的强制性规定和平等、自愿、公平和诚实信用原则。</w:t>
      </w:r>
    </w:p>
    <w:p w14:paraId="5B3C9D53">
      <w:pPr>
        <w:spacing w:line="360" w:lineRule="auto"/>
        <w:ind w:firstLine="420" w:firstLineChars="200"/>
        <w:rPr>
          <w:szCs w:val="21"/>
        </w:rPr>
      </w:pPr>
      <w:r>
        <w:rPr>
          <w:rFonts w:hint="eastAsia"/>
          <w:szCs w:val="21"/>
        </w:rPr>
        <w:t>（</w:t>
      </w:r>
      <w:r>
        <w:rPr>
          <w:rFonts w:hint="eastAsia"/>
          <w:szCs w:val="21"/>
          <w:lang w:val="en-US" w:eastAsia="zh-CN"/>
        </w:rPr>
        <w:t>五</w:t>
      </w:r>
      <w:r>
        <w:rPr>
          <w:rFonts w:hint="eastAsia"/>
          <w:szCs w:val="21"/>
        </w:rPr>
        <w:t>）</w:t>
      </w:r>
      <w:r>
        <w:rPr>
          <w:szCs w:val="21"/>
        </w:rPr>
        <w:t>《</w:t>
      </w:r>
      <w:r>
        <w:rPr>
          <w:rFonts w:hint="eastAsia"/>
          <w:szCs w:val="21"/>
          <w:lang w:eastAsia="zh-CN"/>
        </w:rPr>
        <w:t>参考文本</w:t>
      </w:r>
      <w:r>
        <w:rPr>
          <w:szCs w:val="21"/>
        </w:rPr>
        <w:t>》用相同序号标示的章、节、条、款、项、目，供</w:t>
      </w:r>
      <w:r>
        <w:rPr>
          <w:rFonts w:hint="eastAsia"/>
          <w:szCs w:val="21"/>
          <w:lang w:eastAsia="zh-CN"/>
        </w:rPr>
        <w:t>发包人</w:t>
      </w:r>
      <w:r>
        <w:rPr>
          <w:szCs w:val="21"/>
        </w:rPr>
        <w:t>选择使用；以空格标示的部分，</w:t>
      </w:r>
      <w:r>
        <w:rPr>
          <w:rFonts w:hint="eastAsia"/>
          <w:szCs w:val="21"/>
          <w:lang w:eastAsia="zh-CN"/>
        </w:rPr>
        <w:t>发包人</w:t>
      </w:r>
      <w:r>
        <w:rPr>
          <w:szCs w:val="21"/>
        </w:rPr>
        <w:t>应根据</w:t>
      </w:r>
      <w:r>
        <w:rPr>
          <w:rFonts w:hint="eastAsia"/>
          <w:szCs w:val="21"/>
          <w:lang w:eastAsia="zh-CN"/>
        </w:rPr>
        <w:t>发包</w:t>
      </w:r>
      <w:r>
        <w:rPr>
          <w:szCs w:val="21"/>
        </w:rPr>
        <w:t>项目具体特点和实际需要进行填写，确实没有需要填写的，在空格中用“/”标示。</w:t>
      </w:r>
    </w:p>
    <w:p w14:paraId="572EB8C9">
      <w:pPr>
        <w:spacing w:line="360" w:lineRule="auto"/>
        <w:ind w:firstLine="420" w:firstLineChars="200"/>
        <w:rPr>
          <w:szCs w:val="21"/>
        </w:rPr>
      </w:pPr>
      <w:r>
        <w:rPr>
          <w:rFonts w:hint="eastAsia"/>
          <w:szCs w:val="21"/>
        </w:rPr>
        <w:t>（</w:t>
      </w:r>
      <w:r>
        <w:rPr>
          <w:rFonts w:hint="eastAsia"/>
          <w:szCs w:val="21"/>
          <w:lang w:val="en-US" w:eastAsia="zh-CN"/>
        </w:rPr>
        <w:t>六</w:t>
      </w:r>
      <w:r>
        <w:rPr>
          <w:rFonts w:hint="eastAsia"/>
          <w:szCs w:val="21"/>
        </w:rPr>
        <w:t>）</w:t>
      </w:r>
      <w:r>
        <w:rPr>
          <w:rFonts w:hint="eastAsia"/>
          <w:szCs w:val="21"/>
          <w:lang w:eastAsia="zh-CN"/>
        </w:rPr>
        <w:t>发包文件</w:t>
      </w:r>
      <w:r>
        <w:rPr>
          <w:szCs w:val="21"/>
        </w:rPr>
        <w:t>应由具有与</w:t>
      </w:r>
      <w:r>
        <w:rPr>
          <w:rFonts w:hint="eastAsia"/>
          <w:szCs w:val="21"/>
          <w:lang w:eastAsia="zh-CN"/>
        </w:rPr>
        <w:t>发包</w:t>
      </w:r>
      <w:r>
        <w:rPr>
          <w:szCs w:val="21"/>
        </w:rPr>
        <w:t>项目规模和复杂程度相适应的技术、经济等方面的专业人员</w:t>
      </w:r>
      <w:r>
        <w:rPr>
          <w:rFonts w:hint="eastAsia"/>
          <w:szCs w:val="21"/>
        </w:rPr>
        <w:t>编写</w:t>
      </w:r>
      <w:r>
        <w:rPr>
          <w:szCs w:val="21"/>
        </w:rPr>
        <w:t>。不具备编制能力的</w:t>
      </w:r>
      <w:r>
        <w:rPr>
          <w:rFonts w:hint="eastAsia"/>
          <w:szCs w:val="21"/>
          <w:lang w:eastAsia="zh-CN"/>
        </w:rPr>
        <w:t>发包人</w:t>
      </w:r>
      <w:r>
        <w:rPr>
          <w:szCs w:val="21"/>
        </w:rPr>
        <w:t>应委托</w:t>
      </w:r>
      <w:r>
        <w:rPr>
          <w:rFonts w:hint="eastAsia"/>
          <w:szCs w:val="21"/>
          <w:lang w:eastAsia="zh-CN"/>
        </w:rPr>
        <w:t>中介代理机构</w:t>
      </w:r>
      <w:r>
        <w:rPr>
          <w:szCs w:val="21"/>
        </w:rPr>
        <w:t>编制。</w:t>
      </w:r>
      <w:r>
        <w:rPr>
          <w:rFonts w:hint="eastAsia"/>
          <w:szCs w:val="21"/>
          <w:lang w:eastAsia="zh-CN"/>
        </w:rPr>
        <w:t>发包文件</w:t>
      </w:r>
      <w:r>
        <w:rPr>
          <w:szCs w:val="21"/>
        </w:rPr>
        <w:t>编制完成后应报</w:t>
      </w:r>
      <w:r>
        <w:rPr>
          <w:rFonts w:hint="eastAsia"/>
          <w:szCs w:val="21"/>
          <w:lang w:val="en-US" w:eastAsia="zh-CN"/>
        </w:rPr>
        <w:t>项目属地乡镇</w:t>
      </w:r>
      <w:r>
        <w:rPr>
          <w:szCs w:val="21"/>
        </w:rPr>
        <w:t>备案。</w:t>
      </w:r>
      <w:r>
        <w:rPr>
          <w:rFonts w:hint="eastAsia"/>
          <w:szCs w:val="21"/>
          <w:lang w:eastAsia="zh-CN"/>
        </w:rPr>
        <w:t>发包文件</w:t>
      </w:r>
      <w:r>
        <w:rPr>
          <w:rFonts w:hint="eastAsia"/>
          <w:szCs w:val="21"/>
        </w:rPr>
        <w:t>备案后</w:t>
      </w:r>
      <w:r>
        <w:rPr>
          <w:szCs w:val="21"/>
        </w:rPr>
        <w:t>方</w:t>
      </w:r>
      <w:r>
        <w:rPr>
          <w:rFonts w:hint="eastAsia"/>
          <w:szCs w:val="21"/>
        </w:rPr>
        <w:t>可发布</w:t>
      </w:r>
      <w:r>
        <w:rPr>
          <w:rFonts w:hint="eastAsia"/>
          <w:szCs w:val="21"/>
          <w:lang w:eastAsia="zh-CN"/>
        </w:rPr>
        <w:t>发包公告</w:t>
      </w:r>
      <w:r>
        <w:rPr>
          <w:szCs w:val="21"/>
        </w:rPr>
        <w:t>。</w:t>
      </w:r>
      <w:r>
        <w:rPr>
          <w:rFonts w:hint="eastAsia"/>
          <w:szCs w:val="21"/>
        </w:rPr>
        <w:t>备案</w:t>
      </w:r>
      <w:r>
        <w:rPr>
          <w:szCs w:val="21"/>
        </w:rPr>
        <w:t>后的</w:t>
      </w:r>
      <w:r>
        <w:rPr>
          <w:rFonts w:hint="eastAsia"/>
          <w:szCs w:val="21"/>
          <w:lang w:eastAsia="zh-CN"/>
        </w:rPr>
        <w:t>发包文件</w:t>
      </w:r>
      <w:r>
        <w:rPr>
          <w:szCs w:val="21"/>
        </w:rPr>
        <w:t>如需进行实质性的修改，应以补遗书形式报原备案部门备案。</w:t>
      </w:r>
    </w:p>
    <w:p w14:paraId="0AB06FD9">
      <w:pPr>
        <w:spacing w:line="360" w:lineRule="auto"/>
        <w:ind w:firstLine="420" w:firstLineChars="200"/>
        <w:rPr>
          <w:szCs w:val="21"/>
        </w:rPr>
      </w:pPr>
      <w:r>
        <w:rPr>
          <w:rFonts w:hint="eastAsia"/>
          <w:szCs w:val="21"/>
        </w:rPr>
        <w:t>（</w:t>
      </w:r>
      <w:r>
        <w:rPr>
          <w:rFonts w:hint="eastAsia"/>
          <w:szCs w:val="21"/>
          <w:lang w:val="en-US" w:eastAsia="zh-CN"/>
        </w:rPr>
        <w:t>七</w:t>
      </w:r>
      <w:r>
        <w:rPr>
          <w:rFonts w:hint="eastAsia"/>
          <w:szCs w:val="21"/>
        </w:rPr>
        <w:t>）本</w:t>
      </w:r>
      <w:r>
        <w:rPr>
          <w:rFonts w:hint="eastAsia"/>
          <w:szCs w:val="21"/>
          <w:lang w:eastAsia="zh-CN"/>
        </w:rPr>
        <w:t>参考文本</w:t>
      </w:r>
      <w:r>
        <w:rPr>
          <w:rFonts w:hint="eastAsia"/>
          <w:szCs w:val="21"/>
        </w:rPr>
        <w:t>编制依据：《</w:t>
      </w:r>
      <w:r>
        <w:rPr>
          <w:rFonts w:hint="eastAsia"/>
          <w:szCs w:val="21"/>
          <w:lang w:val="en-US" w:eastAsia="zh-CN"/>
        </w:rPr>
        <w:t>泰顺县人民政府办公室</w:t>
      </w:r>
      <w:r>
        <w:rPr>
          <w:rFonts w:hint="eastAsia"/>
          <w:szCs w:val="21"/>
        </w:rPr>
        <w:t>关于全面推行小额工程电子交易工作的通知》（泰政办〔202</w:t>
      </w:r>
      <w:r>
        <w:rPr>
          <w:rFonts w:hint="eastAsia"/>
          <w:szCs w:val="21"/>
          <w:lang w:eastAsia="zh-CN"/>
        </w:rPr>
        <w:t>6〕</w:t>
      </w:r>
      <w:r>
        <w:rPr>
          <w:rFonts w:hint="eastAsia"/>
          <w:szCs w:val="21"/>
          <w:lang w:val="en-US" w:eastAsia="zh-CN"/>
        </w:rPr>
        <w:t>14</w:t>
      </w:r>
      <w:r>
        <w:rPr>
          <w:rFonts w:hint="eastAsia"/>
          <w:szCs w:val="21"/>
        </w:rPr>
        <w:t>号）、《泰顺县政府投资小额工程建设项目发包暂行办法》（泰政办</w:t>
      </w:r>
      <w:r>
        <w:rPr>
          <w:rFonts w:hint="eastAsia"/>
          <w:szCs w:val="21"/>
          <w:lang w:eastAsia="zh-CN"/>
        </w:rPr>
        <w:t>〔</w:t>
      </w:r>
      <w:r>
        <w:rPr>
          <w:rFonts w:hint="eastAsia"/>
          <w:szCs w:val="21"/>
        </w:rPr>
        <w:t>2019</w:t>
      </w:r>
      <w:r>
        <w:rPr>
          <w:rFonts w:hint="eastAsia"/>
          <w:szCs w:val="21"/>
          <w:lang w:eastAsia="zh-CN"/>
        </w:rPr>
        <w:t>〕</w:t>
      </w:r>
      <w:r>
        <w:rPr>
          <w:rFonts w:hint="eastAsia"/>
          <w:szCs w:val="21"/>
        </w:rPr>
        <w:t>62号）、《泰顺县乡镇交易平台小额工程发包实施细则》（泰发改办</w:t>
      </w:r>
      <w:r>
        <w:rPr>
          <w:rFonts w:hint="eastAsia"/>
          <w:szCs w:val="21"/>
          <w:lang w:eastAsia="zh-CN"/>
        </w:rPr>
        <w:t>〔</w:t>
      </w:r>
      <w:r>
        <w:rPr>
          <w:rFonts w:hint="eastAsia"/>
          <w:szCs w:val="21"/>
        </w:rPr>
        <w:t>2020</w:t>
      </w:r>
      <w:r>
        <w:rPr>
          <w:rFonts w:hint="eastAsia"/>
          <w:szCs w:val="21"/>
          <w:lang w:eastAsia="zh-CN"/>
        </w:rPr>
        <w:t>〕</w:t>
      </w:r>
      <w:r>
        <w:rPr>
          <w:rFonts w:hint="eastAsia"/>
          <w:szCs w:val="21"/>
        </w:rPr>
        <w:t>33号）</w:t>
      </w:r>
      <w:r>
        <w:rPr>
          <w:rFonts w:hint="eastAsia"/>
          <w:szCs w:val="21"/>
          <w:lang w:eastAsia="zh-CN"/>
        </w:rPr>
        <w:t>、</w:t>
      </w:r>
      <w:r>
        <w:rPr>
          <w:rFonts w:hint="eastAsia"/>
          <w:szCs w:val="21"/>
          <w:lang w:val="en-US" w:eastAsia="zh-CN"/>
        </w:rPr>
        <w:t>关于《政府投资小额工程建设项目发包暂行办法》的补充通知（泰政办〔2021〕41号）、关于《政府投资小额工程建设项目发包暂行办法》的补充通知（泰政办〔2023〕69号）</w:t>
      </w:r>
      <w:r>
        <w:rPr>
          <w:szCs w:val="21"/>
        </w:rPr>
        <w:t>。</w:t>
      </w:r>
    </w:p>
    <w:p w14:paraId="355C762A">
      <w:pPr>
        <w:spacing w:line="360" w:lineRule="auto"/>
        <w:ind w:firstLine="420" w:firstLineChars="200"/>
        <w:rPr>
          <w:rFonts w:hint="eastAsia"/>
          <w:szCs w:val="21"/>
          <w:lang w:val="en-US" w:eastAsia="zh-CN"/>
        </w:rPr>
      </w:pPr>
      <w:r>
        <w:rPr>
          <w:rFonts w:hint="eastAsia"/>
          <w:szCs w:val="21"/>
          <w:lang w:val="en-US" w:eastAsia="zh-CN"/>
        </w:rPr>
        <w:t>（八）竞包人免交竞包保证金。政府投资项目、国有资金占主导地位的项目，根据浙江省交通运输厅公布的浙江省公路工程施工企业信用评价结果（以竞包截止时间有效的信用评价结果为准），AA级竞包人可免交竞包保证金（发包文件中应明示），企业信用等级对应的资质类别应与发包资质要求一致。</w:t>
      </w:r>
    </w:p>
    <w:p w14:paraId="64433FA4">
      <w:pPr>
        <w:spacing w:line="360" w:lineRule="auto"/>
        <w:ind w:firstLine="420" w:firstLineChars="200"/>
        <w:rPr>
          <w:rFonts w:hint="eastAsia"/>
          <w:szCs w:val="21"/>
          <w:lang w:val="en-US" w:eastAsia="zh-CN"/>
        </w:rPr>
      </w:pPr>
      <w:r>
        <w:rPr>
          <w:rFonts w:hint="eastAsia"/>
          <w:szCs w:val="21"/>
          <w:lang w:val="en-US" w:eastAsia="zh-CN"/>
        </w:rPr>
        <w:t>（九）根据《浙江省促进民营经济高质量发展若干措施》，除法律法规和国家另有规定外，不得额外对竞包人设置准入条件：</w:t>
      </w:r>
    </w:p>
    <w:p w14:paraId="3B6AC450">
      <w:pPr>
        <w:spacing w:line="360" w:lineRule="auto"/>
        <w:ind w:firstLine="420" w:firstLineChars="200"/>
        <w:rPr>
          <w:rFonts w:hint="eastAsia"/>
          <w:szCs w:val="21"/>
          <w:lang w:val="en-US" w:eastAsia="zh-CN"/>
        </w:rPr>
      </w:pPr>
      <w:r>
        <w:rPr>
          <w:rFonts w:hint="eastAsia"/>
          <w:szCs w:val="21"/>
          <w:lang w:val="en-US" w:eastAsia="zh-CN"/>
        </w:rPr>
        <w:t>1.不准限定竞包人的所有制形式、组织形式或者股权结构；</w:t>
      </w:r>
    </w:p>
    <w:p w14:paraId="65C38F63">
      <w:pPr>
        <w:spacing w:line="360" w:lineRule="auto"/>
        <w:ind w:firstLine="420" w:firstLineChars="200"/>
        <w:rPr>
          <w:rFonts w:hint="eastAsia"/>
          <w:szCs w:val="21"/>
          <w:lang w:val="en-US" w:eastAsia="zh-CN"/>
        </w:rPr>
      </w:pPr>
      <w:r>
        <w:rPr>
          <w:rFonts w:hint="eastAsia"/>
          <w:szCs w:val="21"/>
          <w:lang w:val="en-US" w:eastAsia="zh-CN"/>
        </w:rPr>
        <w:t>2.不准设定与发包项目的具体特点和实际需要不相适应或者与合同履行无关的资格、技术、商务条件；</w:t>
      </w:r>
    </w:p>
    <w:p w14:paraId="3818F0EF">
      <w:pPr>
        <w:spacing w:line="360" w:lineRule="auto"/>
        <w:ind w:firstLine="420" w:firstLineChars="200"/>
        <w:rPr>
          <w:rFonts w:hint="eastAsia"/>
          <w:szCs w:val="21"/>
          <w:lang w:val="en-US" w:eastAsia="zh-CN"/>
        </w:rPr>
      </w:pPr>
      <w:r>
        <w:rPr>
          <w:rFonts w:hint="eastAsia"/>
          <w:szCs w:val="21"/>
          <w:lang w:val="en-US" w:eastAsia="zh-CN"/>
        </w:rPr>
        <w:t>3.不准设置或者变相设置与业务能力无关的规模、成立年限、注册资本金、银行授信证明和明显超过项目要求的业绩要求等门槛限制潜在竞包人；</w:t>
      </w:r>
    </w:p>
    <w:p w14:paraId="02C6B97C">
      <w:pPr>
        <w:spacing w:line="360" w:lineRule="auto"/>
        <w:ind w:firstLine="420" w:firstLineChars="200"/>
        <w:rPr>
          <w:rFonts w:hint="eastAsia"/>
          <w:szCs w:val="21"/>
          <w:lang w:val="en-US" w:eastAsia="zh-CN"/>
        </w:rPr>
      </w:pPr>
      <w:r>
        <w:rPr>
          <w:rFonts w:hint="eastAsia"/>
          <w:szCs w:val="21"/>
          <w:lang w:val="en-US" w:eastAsia="zh-CN"/>
        </w:rPr>
        <w:t>4.不准在采用通用技术标准的一般项目中设置资质、业绩、奖项等加分项；</w:t>
      </w:r>
    </w:p>
    <w:p w14:paraId="0E14214C">
      <w:pPr>
        <w:spacing w:line="360" w:lineRule="auto"/>
        <w:ind w:firstLine="420" w:firstLineChars="200"/>
        <w:rPr>
          <w:rFonts w:hint="eastAsia"/>
          <w:szCs w:val="21"/>
          <w:lang w:val="en-US" w:eastAsia="zh-CN"/>
        </w:rPr>
      </w:pPr>
      <w:r>
        <w:rPr>
          <w:rFonts w:hint="eastAsia"/>
          <w:szCs w:val="21"/>
          <w:lang w:val="en-US" w:eastAsia="zh-CN"/>
        </w:rPr>
        <w:t>5.不准明示或者暗示评标专家对不同所有制竞包人采取不同评价标准；</w:t>
      </w:r>
    </w:p>
    <w:p w14:paraId="2360B0E7">
      <w:pPr>
        <w:spacing w:line="360" w:lineRule="auto"/>
        <w:ind w:firstLine="420" w:firstLineChars="200"/>
        <w:rPr>
          <w:rFonts w:hint="eastAsia"/>
          <w:szCs w:val="21"/>
          <w:lang w:val="en-US" w:eastAsia="zh-CN"/>
        </w:rPr>
      </w:pPr>
      <w:r>
        <w:rPr>
          <w:rFonts w:hint="eastAsia"/>
          <w:szCs w:val="21"/>
          <w:lang w:val="en-US" w:eastAsia="zh-CN"/>
        </w:rPr>
        <w:t>6.不准对不同所有制竞包人设置或者采用不同的信用评价指标；</w:t>
      </w:r>
    </w:p>
    <w:p w14:paraId="6801B3E5">
      <w:pPr>
        <w:spacing w:line="360" w:lineRule="auto"/>
        <w:ind w:firstLine="420" w:firstLineChars="200"/>
        <w:rPr>
          <w:rFonts w:hint="eastAsia"/>
          <w:szCs w:val="21"/>
          <w:lang w:val="en-US" w:eastAsia="zh-CN"/>
        </w:rPr>
      </w:pPr>
      <w:r>
        <w:rPr>
          <w:rFonts w:hint="eastAsia"/>
          <w:szCs w:val="21"/>
          <w:lang w:val="en-US" w:eastAsia="zh-CN"/>
        </w:rPr>
        <w:t>7.不准有其他违反法律、法规规定，限制或者排斥民营企业参与竞包的行为。</w:t>
      </w:r>
    </w:p>
    <w:p w14:paraId="6C07863F">
      <w:pPr>
        <w:spacing w:line="360" w:lineRule="auto"/>
        <w:ind w:firstLine="420" w:firstLineChars="200"/>
        <w:rPr>
          <w:rFonts w:hint="default" w:eastAsia="宋体"/>
          <w:szCs w:val="21"/>
          <w:lang w:val="en-US" w:eastAsia="zh-CN"/>
        </w:rPr>
      </w:pPr>
      <w:r>
        <w:rPr>
          <w:rFonts w:hint="eastAsia"/>
          <w:szCs w:val="21"/>
          <w:lang w:val="en-US" w:eastAsia="zh-CN"/>
        </w:rPr>
        <w:t>（十）支持中小企业发展。国家机关、事业单位和团体组织适用财政性资金采购工程以及与工程建设有关的货物、服务的，发包人应按照《关于政府采购工程落实中小企业发展政策的通知》等文件规定发包。</w:t>
      </w:r>
    </w:p>
    <w:p w14:paraId="129DC9AB">
      <w:pPr>
        <w:spacing w:line="360" w:lineRule="auto"/>
        <w:ind w:firstLine="420" w:firstLineChars="200"/>
        <w:rPr>
          <w:rFonts w:eastAsia="黑体"/>
          <w:szCs w:val="21"/>
        </w:rPr>
      </w:pPr>
      <w:r>
        <w:rPr>
          <w:rFonts w:eastAsia="黑体"/>
          <w:szCs w:val="21"/>
        </w:rPr>
        <w:t>二、</w:t>
      </w:r>
      <w:r>
        <w:rPr>
          <w:rFonts w:hint="eastAsia" w:eastAsia="黑体"/>
          <w:szCs w:val="21"/>
          <w:lang w:eastAsia="zh-CN"/>
        </w:rPr>
        <w:t>发包公告</w:t>
      </w:r>
      <w:r>
        <w:rPr>
          <w:rFonts w:eastAsia="黑体"/>
          <w:szCs w:val="21"/>
        </w:rPr>
        <w:t>部分</w:t>
      </w:r>
    </w:p>
    <w:p w14:paraId="552CDB82">
      <w:pPr>
        <w:spacing w:line="360" w:lineRule="auto"/>
        <w:ind w:firstLine="420" w:firstLineChars="200"/>
        <w:rPr>
          <w:szCs w:val="21"/>
        </w:rPr>
      </w:pPr>
      <w:r>
        <w:rPr>
          <w:szCs w:val="21"/>
        </w:rPr>
        <w:t>（一）</w:t>
      </w:r>
      <w:r>
        <w:rPr>
          <w:rFonts w:hint="eastAsia"/>
          <w:szCs w:val="21"/>
          <w:lang w:val="en-US" w:eastAsia="zh-CN"/>
        </w:rPr>
        <w:t>发包</w:t>
      </w:r>
      <w:r>
        <w:rPr>
          <w:szCs w:val="21"/>
        </w:rPr>
        <w:t>条件</w:t>
      </w:r>
    </w:p>
    <w:p w14:paraId="5D833C9E">
      <w:pPr>
        <w:spacing w:line="360" w:lineRule="auto"/>
        <w:ind w:firstLine="420" w:firstLineChars="200"/>
        <w:rPr>
          <w:szCs w:val="21"/>
        </w:rPr>
      </w:pPr>
      <w:r>
        <w:rPr>
          <w:szCs w:val="21"/>
        </w:rPr>
        <w:t>1.项目名称。应与施工图批复（或行政许可）</w:t>
      </w:r>
      <w:r>
        <w:rPr>
          <w:rFonts w:hint="eastAsia"/>
          <w:szCs w:val="21"/>
        </w:rPr>
        <w:t>文件中载明的项目</w:t>
      </w:r>
      <w:r>
        <w:rPr>
          <w:szCs w:val="21"/>
        </w:rPr>
        <w:t>名称一致。</w:t>
      </w:r>
    </w:p>
    <w:p w14:paraId="46C7CD29">
      <w:pPr>
        <w:spacing w:line="360" w:lineRule="auto"/>
        <w:ind w:firstLine="420" w:firstLineChars="200"/>
        <w:rPr>
          <w:szCs w:val="21"/>
        </w:rPr>
      </w:pPr>
      <w:r>
        <w:rPr>
          <w:szCs w:val="21"/>
        </w:rPr>
        <w:t>2.项目审批（或核准）、备案机关名称、批文及编号。应与项目审批（或核准）、备案文件内容一致。</w:t>
      </w:r>
    </w:p>
    <w:p w14:paraId="742F1072">
      <w:pPr>
        <w:spacing w:line="360" w:lineRule="auto"/>
        <w:ind w:firstLine="420" w:firstLineChars="200"/>
        <w:rPr>
          <w:szCs w:val="21"/>
        </w:rPr>
      </w:pPr>
      <w:r>
        <w:rPr>
          <w:szCs w:val="21"/>
        </w:rPr>
        <w:t>3.施工图批准（或行政许可）机关名称、批文名称及编号。应与施工图批准（或行政许可）文件内容一致。</w:t>
      </w:r>
    </w:p>
    <w:p w14:paraId="07FFE61B">
      <w:pPr>
        <w:spacing w:line="360" w:lineRule="auto"/>
        <w:ind w:firstLine="420" w:firstLineChars="200"/>
        <w:rPr>
          <w:szCs w:val="21"/>
        </w:rPr>
      </w:pPr>
      <w:r>
        <w:rPr>
          <w:szCs w:val="21"/>
        </w:rPr>
        <w:t>4.项目业主。即本</w:t>
      </w:r>
      <w:r>
        <w:rPr>
          <w:rFonts w:hint="eastAsia"/>
          <w:szCs w:val="21"/>
          <w:lang w:eastAsia="zh-CN"/>
        </w:rPr>
        <w:t>发包</w:t>
      </w:r>
      <w:r>
        <w:rPr>
          <w:szCs w:val="21"/>
        </w:rPr>
        <w:t>项目的法人。应与前期审批资料一致。</w:t>
      </w:r>
    </w:p>
    <w:p w14:paraId="516A3D8B">
      <w:pPr>
        <w:spacing w:line="360" w:lineRule="auto"/>
        <w:ind w:firstLine="420" w:firstLineChars="200"/>
        <w:rPr>
          <w:szCs w:val="21"/>
        </w:rPr>
      </w:pPr>
      <w:r>
        <w:rPr>
          <w:szCs w:val="21"/>
        </w:rPr>
        <w:t>5.资金来源及出资比例。根据前期审批资料填写。</w:t>
      </w:r>
    </w:p>
    <w:p w14:paraId="16C6E3C1">
      <w:pPr>
        <w:spacing w:line="360" w:lineRule="auto"/>
        <w:ind w:firstLine="420" w:firstLineChars="200"/>
        <w:rPr>
          <w:szCs w:val="21"/>
        </w:rPr>
      </w:pPr>
      <w:r>
        <w:rPr>
          <w:szCs w:val="21"/>
        </w:rPr>
        <w:t>6.</w:t>
      </w:r>
      <w:r>
        <w:rPr>
          <w:rFonts w:hint="eastAsia"/>
          <w:szCs w:val="21"/>
          <w:lang w:eastAsia="zh-CN"/>
        </w:rPr>
        <w:t>发包人</w:t>
      </w:r>
      <w:r>
        <w:rPr>
          <w:szCs w:val="21"/>
        </w:rPr>
        <w:t>。为组织项目</w:t>
      </w:r>
      <w:r>
        <w:rPr>
          <w:rFonts w:hint="eastAsia"/>
          <w:szCs w:val="21"/>
          <w:lang w:eastAsia="zh-CN"/>
        </w:rPr>
        <w:t>发包</w:t>
      </w:r>
      <w:r>
        <w:rPr>
          <w:szCs w:val="21"/>
        </w:rPr>
        <w:t>活动的主体，一般为项目业主，实行代建的，可为代建</w:t>
      </w:r>
      <w:r>
        <w:rPr>
          <w:rFonts w:hint="eastAsia"/>
          <w:szCs w:val="21"/>
        </w:rPr>
        <w:t>单位</w:t>
      </w:r>
      <w:r>
        <w:rPr>
          <w:szCs w:val="21"/>
        </w:rPr>
        <w:t>或建设指挥部等。</w:t>
      </w:r>
    </w:p>
    <w:p w14:paraId="6FA25428">
      <w:pPr>
        <w:spacing w:line="360" w:lineRule="auto"/>
        <w:ind w:firstLine="420" w:firstLineChars="200"/>
        <w:rPr>
          <w:szCs w:val="21"/>
        </w:rPr>
      </w:pPr>
      <w:r>
        <w:rPr>
          <w:szCs w:val="21"/>
        </w:rPr>
        <w:t>7.</w:t>
      </w:r>
      <w:r>
        <w:rPr>
          <w:rFonts w:hint="eastAsia"/>
          <w:szCs w:val="21"/>
          <w:lang w:eastAsia="zh-CN"/>
        </w:rPr>
        <w:t>中介代理机构</w:t>
      </w:r>
      <w:r>
        <w:rPr>
          <w:szCs w:val="21"/>
        </w:rPr>
        <w:t>。为本次</w:t>
      </w:r>
      <w:r>
        <w:rPr>
          <w:rFonts w:hint="eastAsia"/>
          <w:szCs w:val="21"/>
          <w:lang w:eastAsia="zh-CN"/>
        </w:rPr>
        <w:t>发包</w:t>
      </w:r>
      <w:r>
        <w:rPr>
          <w:szCs w:val="21"/>
        </w:rPr>
        <w:t>提供</w:t>
      </w:r>
      <w:r>
        <w:rPr>
          <w:rFonts w:hint="eastAsia"/>
          <w:szCs w:val="21"/>
          <w:lang w:val="en-US" w:eastAsia="zh-CN"/>
        </w:rPr>
        <w:t>发</w:t>
      </w:r>
      <w:r>
        <w:rPr>
          <w:szCs w:val="21"/>
        </w:rPr>
        <w:t>标代理服务的机构。</w:t>
      </w:r>
    </w:p>
    <w:p w14:paraId="68004382">
      <w:pPr>
        <w:spacing w:line="360" w:lineRule="auto"/>
        <w:ind w:firstLine="420" w:firstLineChars="200"/>
        <w:rPr>
          <w:szCs w:val="21"/>
        </w:rPr>
      </w:pPr>
      <w:r>
        <w:rPr>
          <w:szCs w:val="21"/>
        </w:rPr>
        <w:t>（二）项目概况与</w:t>
      </w:r>
      <w:r>
        <w:rPr>
          <w:rFonts w:hint="eastAsia"/>
          <w:szCs w:val="21"/>
          <w:lang w:val="en-US" w:eastAsia="zh-CN"/>
        </w:rPr>
        <w:t>发包</w:t>
      </w:r>
      <w:r>
        <w:rPr>
          <w:szCs w:val="21"/>
        </w:rPr>
        <w:t>范围</w:t>
      </w:r>
    </w:p>
    <w:p w14:paraId="5B92B5EF">
      <w:pPr>
        <w:spacing w:line="360" w:lineRule="auto"/>
        <w:ind w:firstLine="420" w:firstLineChars="200"/>
        <w:rPr>
          <w:szCs w:val="21"/>
        </w:rPr>
      </w:pPr>
      <w:r>
        <w:rPr>
          <w:szCs w:val="21"/>
        </w:rPr>
        <w:t>1.</w:t>
      </w:r>
      <w:r>
        <w:rPr>
          <w:rFonts w:hint="eastAsia"/>
          <w:szCs w:val="21"/>
          <w:lang w:val="en-US" w:eastAsia="zh-CN"/>
        </w:rPr>
        <w:t>项目概况：</w:t>
      </w:r>
      <w:r>
        <w:rPr>
          <w:szCs w:val="21"/>
        </w:rPr>
        <w:t>说明本次</w:t>
      </w:r>
      <w:r>
        <w:rPr>
          <w:rFonts w:hint="eastAsia"/>
          <w:szCs w:val="21"/>
          <w:lang w:eastAsia="zh-CN"/>
        </w:rPr>
        <w:t>发包</w:t>
      </w:r>
      <w:r>
        <w:rPr>
          <w:szCs w:val="21"/>
        </w:rPr>
        <w:t>项目的建设地点、规模、技术标准、计划工期、</w:t>
      </w:r>
      <w:r>
        <w:rPr>
          <w:rFonts w:hint="eastAsia"/>
          <w:szCs w:val="21"/>
          <w:lang w:val="en-US" w:eastAsia="zh-CN"/>
        </w:rPr>
        <w:t>预</w:t>
      </w:r>
      <w:r>
        <w:rPr>
          <w:szCs w:val="21"/>
        </w:rPr>
        <w:t>算造价、</w:t>
      </w:r>
      <w:r>
        <w:rPr>
          <w:rFonts w:hint="eastAsia"/>
          <w:szCs w:val="21"/>
          <w:lang w:val="en-US" w:eastAsia="zh-CN"/>
        </w:rPr>
        <w:t>发包</w:t>
      </w:r>
      <w:r>
        <w:rPr>
          <w:szCs w:val="21"/>
        </w:rPr>
        <w:t>范围、标段划分、主要结构形式等</w:t>
      </w:r>
      <w:r>
        <w:rPr>
          <w:rFonts w:hint="eastAsia"/>
          <w:szCs w:val="21"/>
        </w:rPr>
        <w:t>内容，</w:t>
      </w:r>
      <w:r>
        <w:rPr>
          <w:szCs w:val="21"/>
        </w:rPr>
        <w:t>应与施工图批复（或行政许可）内容一致。</w:t>
      </w:r>
    </w:p>
    <w:p w14:paraId="10CABABB">
      <w:pPr>
        <w:spacing w:line="360" w:lineRule="auto"/>
        <w:ind w:firstLine="420" w:firstLineChars="200"/>
        <w:rPr>
          <w:szCs w:val="21"/>
        </w:rPr>
      </w:pPr>
      <w:r>
        <w:rPr>
          <w:rFonts w:hint="eastAsia"/>
          <w:szCs w:val="21"/>
        </w:rPr>
        <w:t>2.预算造价。根据设计批复内容填写相应预算。</w:t>
      </w:r>
    </w:p>
    <w:p w14:paraId="34732DD9">
      <w:pPr>
        <w:spacing w:line="360" w:lineRule="auto"/>
        <w:ind w:firstLine="420" w:firstLineChars="200"/>
        <w:rPr>
          <w:szCs w:val="21"/>
        </w:rPr>
      </w:pPr>
      <w:r>
        <w:rPr>
          <w:szCs w:val="21"/>
        </w:rPr>
        <w:t>3.</w:t>
      </w:r>
      <w:r>
        <w:rPr>
          <w:rFonts w:hint="eastAsia"/>
          <w:szCs w:val="21"/>
          <w:lang w:val="en-US" w:eastAsia="zh-CN"/>
        </w:rPr>
        <w:t>发包范围</w:t>
      </w:r>
      <w:r>
        <w:rPr>
          <w:szCs w:val="21"/>
        </w:rPr>
        <w:t>。</w:t>
      </w:r>
      <w:r>
        <w:rPr>
          <w:rFonts w:hint="eastAsia"/>
          <w:szCs w:val="21"/>
          <w:lang w:eastAsia="zh-CN"/>
        </w:rPr>
        <w:t>应与发包控制价编制说明中发包范围相一致</w:t>
      </w:r>
      <w:r>
        <w:rPr>
          <w:szCs w:val="21"/>
        </w:rPr>
        <w:t>。</w:t>
      </w:r>
    </w:p>
    <w:p w14:paraId="62331D89">
      <w:pPr>
        <w:spacing w:line="360" w:lineRule="auto"/>
        <w:ind w:firstLine="420" w:firstLineChars="200"/>
        <w:rPr>
          <w:szCs w:val="21"/>
        </w:rPr>
      </w:pPr>
      <w:r>
        <w:rPr>
          <w:szCs w:val="21"/>
        </w:rPr>
        <w:t>（三）</w:t>
      </w:r>
      <w:r>
        <w:rPr>
          <w:rFonts w:hint="eastAsia"/>
          <w:szCs w:val="21"/>
          <w:lang w:eastAsia="zh-CN"/>
        </w:rPr>
        <w:t>竞包</w:t>
      </w:r>
      <w:r>
        <w:rPr>
          <w:szCs w:val="21"/>
        </w:rPr>
        <w:t>资格要求</w:t>
      </w:r>
    </w:p>
    <w:p w14:paraId="5A7D1D5F">
      <w:pPr>
        <w:spacing w:line="360" w:lineRule="auto"/>
        <w:ind w:firstLine="420" w:firstLineChars="200"/>
        <w:rPr>
          <w:szCs w:val="21"/>
        </w:rPr>
      </w:pPr>
      <w:r>
        <w:rPr>
          <w:szCs w:val="21"/>
        </w:rPr>
        <w:t>1.企业资质要求。根据</w:t>
      </w:r>
      <w:r>
        <w:rPr>
          <w:rFonts w:hint="eastAsia"/>
          <w:szCs w:val="21"/>
          <w:lang w:eastAsia="zh-CN"/>
        </w:rPr>
        <w:t>发包</w:t>
      </w:r>
      <w:r>
        <w:rPr>
          <w:szCs w:val="21"/>
        </w:rPr>
        <w:t>内容，按照建筑业企业资质标准的规定，设置</w:t>
      </w:r>
      <w:r>
        <w:rPr>
          <w:rFonts w:hint="eastAsia"/>
          <w:szCs w:val="21"/>
          <w:lang w:eastAsia="zh-CN"/>
        </w:rPr>
        <w:t>竞包人</w:t>
      </w:r>
      <w:r>
        <w:rPr>
          <w:szCs w:val="21"/>
        </w:rPr>
        <w:t>资质及等级要求。</w:t>
      </w:r>
    </w:p>
    <w:p w14:paraId="56E084B0">
      <w:pPr>
        <w:spacing w:line="360" w:lineRule="auto"/>
        <w:ind w:firstLine="420" w:firstLineChars="200"/>
        <w:rPr>
          <w:szCs w:val="21"/>
        </w:rPr>
      </w:pPr>
      <w:r>
        <w:rPr>
          <w:rFonts w:hint="eastAsia"/>
          <w:szCs w:val="21"/>
          <w:lang w:eastAsia="zh-CN"/>
        </w:rPr>
        <w:t>发包人</w:t>
      </w:r>
      <w:r>
        <w:rPr>
          <w:szCs w:val="21"/>
        </w:rPr>
        <w:t>应严格按照国家有关企业资质管理的规定，提出与</w:t>
      </w:r>
      <w:r>
        <w:rPr>
          <w:rFonts w:hint="eastAsia"/>
          <w:szCs w:val="21"/>
          <w:lang w:eastAsia="zh-CN"/>
        </w:rPr>
        <w:t>发包</w:t>
      </w:r>
      <w:r>
        <w:rPr>
          <w:szCs w:val="21"/>
        </w:rPr>
        <w:t>工程规模相适应的资质最低条件，不得随意提高</w:t>
      </w:r>
      <w:r>
        <w:rPr>
          <w:rFonts w:hint="eastAsia"/>
          <w:szCs w:val="21"/>
        </w:rPr>
        <w:t>或降低</w:t>
      </w:r>
      <w:r>
        <w:rPr>
          <w:szCs w:val="21"/>
        </w:rPr>
        <w:t>资质等级要求。</w:t>
      </w:r>
    </w:p>
    <w:p w14:paraId="2568490C">
      <w:pPr>
        <w:spacing w:line="360" w:lineRule="auto"/>
        <w:ind w:firstLine="420" w:firstLineChars="200"/>
        <w:rPr>
          <w:szCs w:val="21"/>
        </w:rPr>
      </w:pPr>
      <w:r>
        <w:rPr>
          <w:szCs w:val="21"/>
        </w:rPr>
        <w:t>2.联合体。根据</w:t>
      </w:r>
      <w:r>
        <w:rPr>
          <w:rFonts w:hint="eastAsia"/>
          <w:szCs w:val="21"/>
          <w:lang w:eastAsia="zh-CN"/>
        </w:rPr>
        <w:t>发包</w:t>
      </w:r>
      <w:r>
        <w:rPr>
          <w:szCs w:val="21"/>
        </w:rPr>
        <w:t>的实际情况进行约定，</w:t>
      </w:r>
      <w:r>
        <w:rPr>
          <w:rFonts w:hint="eastAsia"/>
          <w:szCs w:val="21"/>
        </w:rPr>
        <w:t>同一标段需要多项</w:t>
      </w:r>
      <w:r>
        <w:rPr>
          <w:szCs w:val="21"/>
        </w:rPr>
        <w:t>资质要求时，不得排斥联合体</w:t>
      </w:r>
      <w:r>
        <w:rPr>
          <w:rFonts w:hint="eastAsia"/>
          <w:szCs w:val="21"/>
          <w:lang w:eastAsia="zh-CN"/>
        </w:rPr>
        <w:t>竞包</w:t>
      </w:r>
      <w:r>
        <w:rPr>
          <w:szCs w:val="21"/>
        </w:rPr>
        <w:t>。</w:t>
      </w:r>
    </w:p>
    <w:p w14:paraId="3DFA25F3">
      <w:pPr>
        <w:spacing w:line="360" w:lineRule="auto"/>
        <w:ind w:firstLine="420" w:firstLineChars="200"/>
        <w:rPr>
          <w:szCs w:val="21"/>
        </w:rPr>
      </w:pPr>
      <w:r>
        <w:rPr>
          <w:szCs w:val="21"/>
        </w:rPr>
        <w:t>单项资质</w:t>
      </w:r>
      <w:r>
        <w:rPr>
          <w:rFonts w:hint="eastAsia"/>
          <w:szCs w:val="21"/>
        </w:rPr>
        <w:t>接受</w:t>
      </w:r>
      <w:r>
        <w:rPr>
          <w:szCs w:val="21"/>
        </w:rPr>
        <w:t>联合体</w:t>
      </w:r>
      <w:r>
        <w:rPr>
          <w:rFonts w:hint="eastAsia"/>
          <w:szCs w:val="21"/>
          <w:lang w:eastAsia="zh-CN"/>
        </w:rPr>
        <w:t>竞包</w:t>
      </w:r>
      <w:r>
        <w:rPr>
          <w:szCs w:val="21"/>
        </w:rPr>
        <w:t>的，</w:t>
      </w:r>
      <w:r>
        <w:rPr>
          <w:rFonts w:hint="eastAsia"/>
          <w:szCs w:val="21"/>
        </w:rPr>
        <w:t>联合体所有成员数量不宜超过2家，且联合体牵头人所承担的工程量不少于总工程量的50%。</w:t>
      </w:r>
    </w:p>
    <w:p w14:paraId="60B7E35B">
      <w:pPr>
        <w:spacing w:line="360" w:lineRule="auto"/>
        <w:ind w:firstLine="420" w:firstLineChars="200"/>
        <w:rPr>
          <w:rFonts w:hint="default" w:eastAsia="宋体"/>
          <w:szCs w:val="21"/>
          <w:lang w:val="en-US" w:eastAsia="zh-CN"/>
        </w:rPr>
      </w:pPr>
      <w:r>
        <w:rPr>
          <w:szCs w:val="21"/>
        </w:rPr>
        <w:t>（四）</w:t>
      </w:r>
      <w:r>
        <w:rPr>
          <w:rFonts w:hint="eastAsia"/>
          <w:szCs w:val="21"/>
          <w:lang w:eastAsia="zh-CN"/>
        </w:rPr>
        <w:t>发包文件</w:t>
      </w:r>
      <w:r>
        <w:rPr>
          <w:szCs w:val="21"/>
        </w:rPr>
        <w:t>的获取</w:t>
      </w:r>
      <w:r>
        <w:rPr>
          <w:rFonts w:hint="eastAsia"/>
          <w:szCs w:val="21"/>
          <w:lang w:val="en-US" w:eastAsia="zh-CN"/>
        </w:rPr>
        <w:t>及递交</w:t>
      </w:r>
    </w:p>
    <w:p w14:paraId="4E940844">
      <w:pPr>
        <w:spacing w:line="360" w:lineRule="auto"/>
        <w:ind w:firstLine="420" w:firstLineChars="200"/>
        <w:rPr>
          <w:rFonts w:hint="eastAsia"/>
          <w:szCs w:val="21"/>
        </w:rPr>
      </w:pPr>
      <w:r>
        <w:rPr>
          <w:rFonts w:hint="eastAsia"/>
          <w:szCs w:val="21"/>
        </w:rPr>
        <w:t>1.发包文件的获取为网上下载形式。发包文件获取时间不得少于3日；截止时间如遇国家法定节假日的，应顺延至法定节假日后的第一个工作日。</w:t>
      </w:r>
    </w:p>
    <w:p w14:paraId="6C62C308">
      <w:pPr>
        <w:spacing w:line="360" w:lineRule="auto"/>
        <w:ind w:firstLine="420" w:firstLineChars="200"/>
        <w:rPr>
          <w:rFonts w:hint="eastAsia"/>
          <w:szCs w:val="21"/>
        </w:rPr>
      </w:pPr>
      <w:r>
        <w:rPr>
          <w:rFonts w:hint="eastAsia"/>
          <w:szCs w:val="21"/>
        </w:rPr>
        <w:t>2.发包人应在发包公告（或竞包邀请书）及发包文件中明确发包文件发售方式及时间，发售期不得少于3日。截止时间如遇国家法定休假日的，应顺延至法定休假日后的第一个工作日。</w:t>
      </w:r>
    </w:p>
    <w:p w14:paraId="711F11BA">
      <w:pPr>
        <w:spacing w:line="360" w:lineRule="auto"/>
        <w:ind w:firstLine="420" w:firstLineChars="200"/>
        <w:rPr>
          <w:rFonts w:hint="eastAsia"/>
          <w:szCs w:val="21"/>
        </w:rPr>
      </w:pPr>
      <w:r>
        <w:rPr>
          <w:rFonts w:hint="eastAsia"/>
          <w:szCs w:val="21"/>
        </w:rPr>
        <w:t>3.疑问提交时间。由发包人依法设定，具体时间应充分考虑竞包人获取、阅读发包文件、提出疑问的时间，同时要为答疑预留一定的时间。</w:t>
      </w:r>
    </w:p>
    <w:p w14:paraId="4784031B">
      <w:pPr>
        <w:spacing w:line="360" w:lineRule="auto"/>
        <w:ind w:firstLine="420" w:firstLineChars="200"/>
        <w:rPr>
          <w:rFonts w:hint="eastAsia"/>
          <w:szCs w:val="21"/>
        </w:rPr>
      </w:pPr>
      <w:r>
        <w:rPr>
          <w:rFonts w:hint="eastAsia"/>
          <w:szCs w:val="21"/>
        </w:rPr>
        <w:t>4.补充（答疑、澄清）发包文件发布日期。为发包人最迟可能发出补充文件的时间，应充分考虑在竞包截止时间前可能发生的变化。</w:t>
      </w:r>
    </w:p>
    <w:p w14:paraId="184120DF">
      <w:pPr>
        <w:spacing w:line="360" w:lineRule="auto"/>
        <w:ind w:firstLine="420" w:firstLineChars="200"/>
        <w:rPr>
          <w:rFonts w:hint="eastAsia"/>
          <w:szCs w:val="21"/>
        </w:rPr>
      </w:pPr>
      <w:r>
        <w:rPr>
          <w:rFonts w:hint="eastAsia"/>
          <w:szCs w:val="21"/>
        </w:rPr>
        <w:t>5.竞包截止时间。自发包文件发出之日起至竞包截止时间不得少于3日。发包人应考虑补充（答疑、澄清）发包文件可能影响竞包文件编制内容的，应适当安排竞包截止时间。截止时间如遇国家法定休假日的，应顺延至法定休假日后的第一个工作日。</w:t>
      </w:r>
    </w:p>
    <w:p w14:paraId="4BD9C74B">
      <w:pPr>
        <w:spacing w:line="360" w:lineRule="auto"/>
        <w:ind w:firstLine="420" w:firstLineChars="200"/>
        <w:rPr>
          <w:szCs w:val="21"/>
        </w:rPr>
      </w:pPr>
      <w:r>
        <w:rPr>
          <w:rFonts w:hint="eastAsia"/>
          <w:szCs w:val="21"/>
          <w:lang w:val="en-US" w:eastAsia="zh-CN"/>
        </w:rPr>
        <w:t>6</w:t>
      </w:r>
      <w:r>
        <w:rPr>
          <w:rFonts w:hint="eastAsia"/>
          <w:szCs w:val="21"/>
        </w:rPr>
        <w:t>.竞包文件的递交方式为电子网上传输提交形式。发包人应在发包公告（或竞包邀请书）及发包文件中明确竞包文件递交方式及时间，还应明确是否需要同时递交纸质竞包文件。</w:t>
      </w:r>
    </w:p>
    <w:p w14:paraId="546D7306">
      <w:pPr>
        <w:spacing w:line="360" w:lineRule="auto"/>
        <w:ind w:firstLine="420" w:firstLineChars="200"/>
        <w:rPr>
          <w:rFonts w:eastAsia="黑体"/>
          <w:szCs w:val="21"/>
        </w:rPr>
      </w:pPr>
      <w:r>
        <w:rPr>
          <w:rFonts w:eastAsia="黑体"/>
          <w:szCs w:val="21"/>
        </w:rPr>
        <w:t>三、</w:t>
      </w:r>
      <w:r>
        <w:rPr>
          <w:rFonts w:hint="eastAsia" w:eastAsia="黑体"/>
          <w:szCs w:val="21"/>
          <w:lang w:eastAsia="zh-CN"/>
        </w:rPr>
        <w:t>竞包人</w:t>
      </w:r>
      <w:r>
        <w:rPr>
          <w:rFonts w:eastAsia="黑体"/>
          <w:szCs w:val="21"/>
        </w:rPr>
        <w:t>须知部分</w:t>
      </w:r>
    </w:p>
    <w:p w14:paraId="1C9AF8B8">
      <w:pPr>
        <w:spacing w:line="360" w:lineRule="auto"/>
        <w:ind w:firstLine="420" w:firstLineChars="200"/>
        <w:rPr>
          <w:szCs w:val="21"/>
        </w:rPr>
      </w:pPr>
      <w:r>
        <w:rPr>
          <w:szCs w:val="21"/>
        </w:rPr>
        <w:t>（一）</w:t>
      </w:r>
      <w:r>
        <w:rPr>
          <w:rFonts w:hint="eastAsia"/>
          <w:szCs w:val="21"/>
          <w:lang w:eastAsia="zh-CN"/>
        </w:rPr>
        <w:t>竞包人</w:t>
      </w:r>
      <w:r>
        <w:rPr>
          <w:szCs w:val="21"/>
        </w:rPr>
        <w:t>须知前附表</w:t>
      </w:r>
    </w:p>
    <w:p w14:paraId="4F1EB51D">
      <w:pPr>
        <w:spacing w:line="360" w:lineRule="auto"/>
        <w:ind w:firstLine="420" w:firstLineChars="200"/>
        <w:rPr>
          <w:szCs w:val="21"/>
        </w:rPr>
      </w:pPr>
      <w:r>
        <w:rPr>
          <w:szCs w:val="21"/>
        </w:rPr>
        <w:t>1.</w:t>
      </w:r>
      <w:r>
        <w:rPr>
          <w:rFonts w:hint="eastAsia"/>
          <w:szCs w:val="21"/>
          <w:lang w:eastAsia="zh-CN"/>
        </w:rPr>
        <w:t>发包人</w:t>
      </w:r>
      <w:r>
        <w:rPr>
          <w:szCs w:val="21"/>
        </w:rPr>
        <w:t>、</w:t>
      </w:r>
      <w:r>
        <w:rPr>
          <w:rFonts w:hint="eastAsia"/>
          <w:szCs w:val="21"/>
          <w:lang w:eastAsia="zh-CN"/>
        </w:rPr>
        <w:t>中介代理机构</w:t>
      </w:r>
      <w:r>
        <w:rPr>
          <w:szCs w:val="21"/>
        </w:rPr>
        <w:t>、</w:t>
      </w:r>
      <w:r>
        <w:rPr>
          <w:rFonts w:hint="eastAsia"/>
          <w:szCs w:val="21"/>
          <w:lang w:eastAsia="zh-CN"/>
        </w:rPr>
        <w:t>发包</w:t>
      </w:r>
      <w:r>
        <w:rPr>
          <w:szCs w:val="21"/>
        </w:rPr>
        <w:t>项目名称、标段建设地点、资金来源及比例、资金落实情况、</w:t>
      </w:r>
      <w:r>
        <w:rPr>
          <w:rFonts w:hint="eastAsia"/>
          <w:szCs w:val="21"/>
          <w:lang w:val="en-US" w:eastAsia="zh-CN"/>
        </w:rPr>
        <w:t>发包</w:t>
      </w:r>
      <w:r>
        <w:rPr>
          <w:szCs w:val="21"/>
        </w:rPr>
        <w:t>范围。应与</w:t>
      </w:r>
      <w:r>
        <w:rPr>
          <w:rFonts w:hint="eastAsia"/>
          <w:szCs w:val="21"/>
          <w:lang w:eastAsia="zh-CN"/>
        </w:rPr>
        <w:t>发包公告</w:t>
      </w:r>
      <w:r>
        <w:rPr>
          <w:szCs w:val="21"/>
        </w:rPr>
        <w:t>内容一致。</w:t>
      </w:r>
    </w:p>
    <w:p w14:paraId="522B5C35">
      <w:pPr>
        <w:spacing w:line="360" w:lineRule="auto"/>
        <w:ind w:firstLine="420" w:firstLineChars="200"/>
        <w:rPr>
          <w:szCs w:val="21"/>
        </w:rPr>
      </w:pPr>
      <w:r>
        <w:rPr>
          <w:szCs w:val="21"/>
        </w:rPr>
        <w:t>2.计划工期。计划工期应符合项目批复（或核准）文件明确的工期，不得随意压缩工期。并应当允许</w:t>
      </w:r>
      <w:r>
        <w:rPr>
          <w:rFonts w:hint="eastAsia"/>
          <w:szCs w:val="21"/>
          <w:lang w:eastAsia="zh-CN"/>
        </w:rPr>
        <w:t>竞包人</w:t>
      </w:r>
      <w:r>
        <w:rPr>
          <w:szCs w:val="21"/>
        </w:rPr>
        <w:t>提出优于计划工期的</w:t>
      </w:r>
      <w:r>
        <w:rPr>
          <w:rFonts w:hint="eastAsia"/>
          <w:szCs w:val="21"/>
          <w:lang w:eastAsia="zh-CN"/>
        </w:rPr>
        <w:t>竞包</w:t>
      </w:r>
      <w:r>
        <w:rPr>
          <w:szCs w:val="21"/>
        </w:rPr>
        <w:t>承诺。</w:t>
      </w:r>
    </w:p>
    <w:p w14:paraId="25153AA7">
      <w:pPr>
        <w:spacing w:line="360" w:lineRule="auto"/>
        <w:ind w:firstLine="420" w:firstLineChars="200"/>
        <w:rPr>
          <w:szCs w:val="21"/>
        </w:rPr>
      </w:pPr>
      <w:r>
        <w:rPr>
          <w:szCs w:val="21"/>
        </w:rPr>
        <w:t>3.质量要求。</w:t>
      </w:r>
      <w:r>
        <w:rPr>
          <w:rFonts w:hint="eastAsia"/>
          <w:szCs w:val="21"/>
        </w:rPr>
        <w:t>根据本次发包的具体情况和要求，按</w:t>
      </w:r>
      <w:r>
        <w:rPr>
          <w:rFonts w:hint="eastAsia"/>
          <w:szCs w:val="21"/>
          <w:lang w:eastAsia="zh-CN"/>
        </w:rPr>
        <w:t>参考文本</w:t>
      </w:r>
      <w:r>
        <w:rPr>
          <w:rFonts w:hint="eastAsia"/>
          <w:szCs w:val="21"/>
        </w:rPr>
        <w:t>提示内容选择或填写</w:t>
      </w:r>
      <w:r>
        <w:rPr>
          <w:szCs w:val="21"/>
        </w:rPr>
        <w:t>。</w:t>
      </w:r>
    </w:p>
    <w:p w14:paraId="2F575692">
      <w:pPr>
        <w:spacing w:line="360" w:lineRule="auto"/>
        <w:ind w:firstLine="420" w:firstLineChars="200"/>
        <w:rPr>
          <w:szCs w:val="21"/>
        </w:rPr>
      </w:pPr>
      <w:r>
        <w:rPr>
          <w:szCs w:val="21"/>
        </w:rPr>
        <w:t>4.安全目标。</w:t>
      </w:r>
      <w:r>
        <w:rPr>
          <w:rFonts w:hint="eastAsia"/>
          <w:szCs w:val="21"/>
          <w:lang w:eastAsia="zh-CN"/>
        </w:rPr>
        <w:t>发包人</w:t>
      </w:r>
      <w:r>
        <w:rPr>
          <w:szCs w:val="21"/>
        </w:rPr>
        <w:t>应设置安全目标。</w:t>
      </w:r>
      <w:r>
        <w:rPr>
          <w:rFonts w:hint="eastAsia"/>
          <w:szCs w:val="21"/>
        </w:rPr>
        <w:t>一般要求：不发生较大及以上生产安全责任事故，人员零死亡。</w:t>
      </w:r>
    </w:p>
    <w:p w14:paraId="4CADD212">
      <w:pPr>
        <w:spacing w:line="360" w:lineRule="auto"/>
        <w:ind w:firstLine="420" w:firstLineChars="200"/>
        <w:rPr>
          <w:szCs w:val="21"/>
        </w:rPr>
      </w:pPr>
      <w:r>
        <w:rPr>
          <w:szCs w:val="21"/>
        </w:rPr>
        <w:t>5.</w:t>
      </w:r>
      <w:r>
        <w:rPr>
          <w:rFonts w:hint="eastAsia"/>
          <w:szCs w:val="21"/>
          <w:lang w:eastAsia="zh-CN"/>
        </w:rPr>
        <w:t>竞包人</w:t>
      </w:r>
      <w:r>
        <w:rPr>
          <w:szCs w:val="21"/>
        </w:rPr>
        <w:t>的资质条件、能力和信誉。根据国家有关规定和项目情况在附录中填写。</w:t>
      </w:r>
    </w:p>
    <w:p w14:paraId="3C88FD65">
      <w:pPr>
        <w:spacing w:line="360" w:lineRule="auto"/>
        <w:ind w:firstLine="420" w:firstLineChars="200"/>
        <w:rPr>
          <w:szCs w:val="21"/>
        </w:rPr>
      </w:pPr>
      <w:r>
        <w:rPr>
          <w:szCs w:val="21"/>
        </w:rPr>
        <w:t>6.分包。</w:t>
      </w:r>
      <w:bookmarkStart w:id="2" w:name="_Hlk92737565"/>
      <w:r>
        <w:rPr>
          <w:rFonts w:hint="eastAsia"/>
          <w:szCs w:val="21"/>
        </w:rPr>
        <w:t>鼓励公路工程依法进行分包。不得分包的工程内容应在</w:t>
      </w:r>
      <w:r>
        <w:rPr>
          <w:rFonts w:hint="eastAsia"/>
          <w:szCs w:val="21"/>
          <w:lang w:eastAsia="zh-CN"/>
        </w:rPr>
        <w:t>发包文件</w:t>
      </w:r>
      <w:r>
        <w:rPr>
          <w:rFonts w:hint="eastAsia"/>
          <w:szCs w:val="21"/>
        </w:rPr>
        <w:t>中明确。</w:t>
      </w:r>
      <w:r>
        <w:rPr>
          <w:rFonts w:hint="eastAsia"/>
          <w:szCs w:val="21"/>
          <w:lang w:eastAsia="zh-CN"/>
        </w:rPr>
        <w:t>发包人</w:t>
      </w:r>
      <w:r>
        <w:rPr>
          <w:rFonts w:hint="eastAsia"/>
          <w:szCs w:val="21"/>
        </w:rPr>
        <w:t>不得在</w:t>
      </w:r>
      <w:r>
        <w:rPr>
          <w:rFonts w:hint="eastAsia"/>
          <w:szCs w:val="21"/>
          <w:lang w:eastAsia="zh-CN"/>
        </w:rPr>
        <w:t>发包文件</w:t>
      </w:r>
      <w:r>
        <w:rPr>
          <w:rFonts w:hint="eastAsia"/>
          <w:szCs w:val="21"/>
        </w:rPr>
        <w:t>中设置对分包的歧视性条款，除法律法规明确不得分包的内容外，</w:t>
      </w:r>
      <w:r>
        <w:rPr>
          <w:rFonts w:hint="eastAsia"/>
          <w:szCs w:val="21"/>
          <w:lang w:eastAsia="zh-CN"/>
        </w:rPr>
        <w:t>发包人</w:t>
      </w:r>
      <w:r>
        <w:rPr>
          <w:rFonts w:hint="eastAsia"/>
          <w:szCs w:val="21"/>
        </w:rPr>
        <w:t>不得在</w:t>
      </w:r>
      <w:r>
        <w:rPr>
          <w:rFonts w:hint="eastAsia"/>
          <w:szCs w:val="21"/>
          <w:lang w:eastAsia="zh-CN"/>
        </w:rPr>
        <w:t>发包文件</w:t>
      </w:r>
      <w:r>
        <w:rPr>
          <w:rFonts w:hint="eastAsia"/>
          <w:szCs w:val="21"/>
        </w:rPr>
        <w:t>中随意设定一律不得分包或对分包作出不合理限制等条款内容。分包应符合法律法规和浙江省交通运输厅《</w:t>
      </w:r>
      <w:r>
        <w:rPr>
          <w:rFonts w:hint="eastAsia" w:ascii="宋体" w:hAnsi="宋体" w:cs="宋体"/>
          <w:szCs w:val="21"/>
        </w:rPr>
        <w:t>浙江省公路水运工程施工分包</w:t>
      </w:r>
      <w:r>
        <w:rPr>
          <w:rFonts w:hint="eastAsia" w:ascii="宋体" w:hAnsi="宋体" w:cs="宋体"/>
          <w:szCs w:val="21"/>
          <w:lang w:val="en-US" w:eastAsia="zh-CN"/>
        </w:rPr>
        <w:t>和劳务合作</w:t>
      </w:r>
      <w:r>
        <w:rPr>
          <w:rFonts w:hint="eastAsia" w:ascii="宋体" w:hAnsi="宋体" w:cs="宋体"/>
          <w:szCs w:val="21"/>
        </w:rPr>
        <w:t>办法</w:t>
      </w:r>
      <w:r>
        <w:rPr>
          <w:rFonts w:hint="eastAsia"/>
          <w:szCs w:val="21"/>
        </w:rPr>
        <w:t>》等规范性文件相关规定。承包人应及时向分包人支付工程款。</w:t>
      </w:r>
    </w:p>
    <w:p w14:paraId="11F2222F">
      <w:pPr>
        <w:spacing w:line="360" w:lineRule="auto"/>
        <w:ind w:firstLine="420" w:firstLineChars="200"/>
        <w:rPr>
          <w:szCs w:val="21"/>
        </w:rPr>
      </w:pPr>
      <w:r>
        <w:rPr>
          <w:rFonts w:hint="eastAsia"/>
          <w:szCs w:val="21"/>
        </w:rPr>
        <w:t>除规定不得分包的工程内容外，承包人可以采用施工分包的方式，将所承包工程中的专业工程或专项工程依法交由具备相应条件的分包人实施，但分包人不得再分包。</w:t>
      </w:r>
    </w:p>
    <w:p w14:paraId="609D7349">
      <w:pPr>
        <w:spacing w:line="360" w:lineRule="auto"/>
        <w:ind w:firstLine="420" w:firstLineChars="200"/>
        <w:rPr>
          <w:szCs w:val="21"/>
        </w:rPr>
      </w:pPr>
      <w:r>
        <w:rPr>
          <w:rFonts w:hint="eastAsia"/>
          <w:szCs w:val="21"/>
        </w:rPr>
        <w:t>下列工程内容不得分包：</w:t>
      </w:r>
    </w:p>
    <w:p w14:paraId="19AB2F11">
      <w:pPr>
        <w:spacing w:line="360" w:lineRule="auto"/>
        <w:ind w:firstLine="420" w:firstLineChars="200"/>
        <w:rPr>
          <w:szCs w:val="21"/>
        </w:rPr>
      </w:pPr>
      <w:r>
        <w:rPr>
          <w:rFonts w:hint="eastAsia"/>
          <w:szCs w:val="21"/>
        </w:rPr>
        <w:t>（1）滑坡体的预应力结构和抗滑桩。</w:t>
      </w:r>
    </w:p>
    <w:p w14:paraId="3D7D4D5C">
      <w:pPr>
        <w:spacing w:line="360" w:lineRule="auto"/>
        <w:ind w:firstLine="420" w:firstLineChars="200"/>
        <w:rPr>
          <w:szCs w:val="21"/>
        </w:rPr>
      </w:pPr>
      <w:r>
        <w:rPr>
          <w:rFonts w:hint="eastAsia"/>
          <w:szCs w:val="21"/>
        </w:rPr>
        <w:t>（2）单独</w:t>
      </w:r>
      <w:r>
        <w:rPr>
          <w:rFonts w:hint="eastAsia"/>
          <w:szCs w:val="21"/>
          <w:lang w:eastAsia="zh-CN"/>
        </w:rPr>
        <w:t>发包</w:t>
      </w:r>
      <w:r>
        <w:rPr>
          <w:rFonts w:hint="eastAsia"/>
          <w:szCs w:val="21"/>
        </w:rPr>
        <w:t>路面合同段的沥青面层结构。</w:t>
      </w:r>
    </w:p>
    <w:p w14:paraId="6ED98BA9">
      <w:pPr>
        <w:spacing w:line="360" w:lineRule="auto"/>
        <w:ind w:firstLine="420" w:firstLineChars="200"/>
        <w:rPr>
          <w:szCs w:val="21"/>
        </w:rPr>
      </w:pPr>
      <w:r>
        <w:rPr>
          <w:rFonts w:hint="eastAsia"/>
          <w:szCs w:val="21"/>
        </w:rPr>
        <w:t>（3）桥梁索塔、锚碇、沉井基础等结构；浇筑高度≥30米的非柱式混凝土墩；预应力混凝土桥梁上部承重结构（购买专业化生产的符合相关要求的梁板除外）；拱桥、斜拉桥、悬索桥等特殊桥梁上部承重结构（钢结构除外）。</w:t>
      </w:r>
    </w:p>
    <w:p w14:paraId="185C9587">
      <w:pPr>
        <w:spacing w:line="360" w:lineRule="auto"/>
        <w:ind w:firstLine="420" w:firstLineChars="200"/>
        <w:rPr>
          <w:szCs w:val="21"/>
        </w:rPr>
      </w:pPr>
      <w:r>
        <w:rPr>
          <w:rFonts w:hint="eastAsia"/>
          <w:szCs w:val="21"/>
        </w:rPr>
        <w:t>（4）设计明确的高风险和技术特别复杂的隧道；单独</w:t>
      </w:r>
      <w:r>
        <w:rPr>
          <w:rFonts w:hint="eastAsia"/>
          <w:szCs w:val="21"/>
          <w:lang w:val="en-US" w:eastAsia="zh-CN"/>
        </w:rPr>
        <w:t>发</w:t>
      </w:r>
      <w:r>
        <w:rPr>
          <w:rFonts w:hint="eastAsia"/>
          <w:szCs w:val="21"/>
        </w:rPr>
        <w:t>标隧道合同段的二次衬砌。</w:t>
      </w:r>
    </w:p>
    <w:p w14:paraId="51ADAB34">
      <w:pPr>
        <w:spacing w:line="360" w:lineRule="auto"/>
        <w:ind w:firstLine="420" w:firstLineChars="200"/>
        <w:rPr>
          <w:szCs w:val="21"/>
        </w:rPr>
      </w:pPr>
      <w:r>
        <w:rPr>
          <w:rFonts w:hint="eastAsia"/>
          <w:szCs w:val="21"/>
        </w:rPr>
        <w:t>（5）其他高风险和技术复杂的工程内容。</w:t>
      </w:r>
    </w:p>
    <w:p w14:paraId="00F98F9E">
      <w:pPr>
        <w:spacing w:line="360" w:lineRule="auto"/>
        <w:ind w:firstLine="420" w:firstLineChars="200"/>
        <w:jc w:val="left"/>
        <w:rPr>
          <w:szCs w:val="21"/>
        </w:rPr>
      </w:pPr>
      <w:r>
        <w:rPr>
          <w:rFonts w:hint="eastAsia"/>
          <w:szCs w:val="21"/>
        </w:rPr>
        <w:t>发包人可以结合项目实际在</w:t>
      </w:r>
      <w:r>
        <w:rPr>
          <w:rFonts w:hint="eastAsia"/>
          <w:szCs w:val="21"/>
          <w:lang w:eastAsia="zh-CN"/>
        </w:rPr>
        <w:t>发包文件</w:t>
      </w:r>
      <w:r>
        <w:rPr>
          <w:rFonts w:hint="eastAsia"/>
          <w:szCs w:val="21"/>
        </w:rPr>
        <w:t>中按合同段明确不得分包的工程内容。</w:t>
      </w:r>
    </w:p>
    <w:bookmarkEnd w:id="2"/>
    <w:p w14:paraId="345DCE20">
      <w:pPr>
        <w:spacing w:line="360" w:lineRule="auto"/>
        <w:ind w:firstLine="420" w:firstLineChars="200"/>
        <w:jc w:val="left"/>
        <w:rPr>
          <w:szCs w:val="21"/>
        </w:rPr>
      </w:pPr>
      <w:r>
        <w:rPr>
          <w:szCs w:val="21"/>
        </w:rPr>
        <w:t>7.</w:t>
      </w:r>
      <w:r>
        <w:rPr>
          <w:rFonts w:hint="eastAsia"/>
          <w:szCs w:val="21"/>
          <w:lang w:eastAsia="zh-CN"/>
        </w:rPr>
        <w:t>发包文件</w:t>
      </w:r>
      <w:r>
        <w:rPr>
          <w:szCs w:val="21"/>
        </w:rPr>
        <w:t>澄清、修改时间。应符合法律法规相关规定。</w:t>
      </w:r>
    </w:p>
    <w:p w14:paraId="5BBE6832">
      <w:pPr>
        <w:spacing w:line="360" w:lineRule="auto"/>
        <w:ind w:firstLine="420" w:firstLineChars="200"/>
        <w:rPr>
          <w:szCs w:val="21"/>
        </w:rPr>
      </w:pPr>
      <w:r>
        <w:rPr>
          <w:szCs w:val="21"/>
        </w:rPr>
        <w:t>8.</w:t>
      </w:r>
      <w:r>
        <w:rPr>
          <w:rFonts w:hint="eastAsia"/>
          <w:szCs w:val="21"/>
          <w:lang w:eastAsia="zh-CN"/>
        </w:rPr>
        <w:t>竞包</w:t>
      </w:r>
      <w:r>
        <w:rPr>
          <w:szCs w:val="21"/>
        </w:rPr>
        <w:t>文件密封形式。统一采用</w:t>
      </w:r>
      <w:r>
        <w:rPr>
          <w:rFonts w:hint="eastAsia"/>
          <w:szCs w:val="21"/>
          <w:lang w:val="en-US" w:eastAsia="zh-CN"/>
        </w:rPr>
        <w:t>单</w:t>
      </w:r>
      <w:r>
        <w:rPr>
          <w:szCs w:val="21"/>
        </w:rPr>
        <w:t>信封</w:t>
      </w:r>
      <w:r>
        <w:rPr>
          <w:rFonts w:hint="eastAsia"/>
          <w:szCs w:val="21"/>
        </w:rPr>
        <w:t>形式</w:t>
      </w:r>
      <w:r>
        <w:rPr>
          <w:szCs w:val="21"/>
        </w:rPr>
        <w:t>。</w:t>
      </w:r>
    </w:p>
    <w:p w14:paraId="58870993">
      <w:pPr>
        <w:spacing w:line="360" w:lineRule="auto"/>
        <w:ind w:firstLine="420" w:firstLineChars="200"/>
        <w:rPr>
          <w:szCs w:val="21"/>
        </w:rPr>
      </w:pPr>
      <w:r>
        <w:rPr>
          <w:szCs w:val="21"/>
        </w:rPr>
        <w:t>9.增值税税金的计算方法。一般计税法。</w:t>
      </w:r>
    </w:p>
    <w:p w14:paraId="5B6FD51F">
      <w:pPr>
        <w:spacing w:line="360" w:lineRule="auto"/>
        <w:ind w:firstLine="420" w:firstLineChars="200"/>
        <w:rPr>
          <w:rFonts w:hint="default" w:eastAsia="宋体"/>
          <w:szCs w:val="21"/>
          <w:lang w:val="en-US" w:eastAsia="zh-CN"/>
        </w:rPr>
      </w:pPr>
      <w:r>
        <w:rPr>
          <w:rFonts w:hint="eastAsia"/>
          <w:szCs w:val="21"/>
          <w:lang w:val="en-US" w:eastAsia="zh-CN"/>
        </w:rPr>
        <w:t>10.竞包有效期。一般为90日历天。</w:t>
      </w:r>
    </w:p>
    <w:p w14:paraId="33422468">
      <w:pPr>
        <w:spacing w:line="360" w:lineRule="auto"/>
        <w:ind w:firstLine="420" w:firstLineChars="200"/>
        <w:rPr>
          <w:rFonts w:hint="eastAsia"/>
          <w:szCs w:val="21"/>
        </w:rPr>
      </w:pPr>
      <w:r>
        <w:rPr>
          <w:szCs w:val="21"/>
        </w:rPr>
        <w:t>1</w:t>
      </w:r>
      <w:r>
        <w:rPr>
          <w:rFonts w:hint="eastAsia"/>
          <w:szCs w:val="21"/>
          <w:lang w:val="en-US" w:eastAsia="zh-CN"/>
        </w:rPr>
        <w:t>1</w:t>
      </w:r>
      <w:r>
        <w:rPr>
          <w:szCs w:val="21"/>
        </w:rPr>
        <w:t>.</w:t>
      </w:r>
      <w:bookmarkStart w:id="3" w:name="_Hlk92737867"/>
      <w:r>
        <w:rPr>
          <w:rFonts w:hint="eastAsia"/>
          <w:szCs w:val="21"/>
        </w:rPr>
        <w:t>评审专家抽取与使用：发包人在交易前一天向</w:t>
      </w:r>
      <w:r>
        <w:rPr>
          <w:rFonts w:hint="eastAsia"/>
          <w:szCs w:val="21"/>
          <w:lang w:val="en-US" w:eastAsia="zh-CN"/>
        </w:rPr>
        <w:t>项目属地</w:t>
      </w:r>
      <w:r>
        <w:rPr>
          <w:rFonts w:hint="eastAsia"/>
          <w:szCs w:val="21"/>
        </w:rPr>
        <w:t>乡镇递交《专家抽取申请表》提出抽取申请，</w:t>
      </w:r>
      <w:r>
        <w:rPr>
          <w:rFonts w:hint="eastAsia"/>
          <w:szCs w:val="21"/>
          <w:lang w:val="en-US" w:eastAsia="zh-CN"/>
        </w:rPr>
        <w:t>项目属地</w:t>
      </w:r>
      <w:r>
        <w:rPr>
          <w:rFonts w:hint="eastAsia"/>
          <w:szCs w:val="21"/>
        </w:rPr>
        <w:t>乡镇进行审核，审核通过后进行随机抽取。相关人员须对评审专家抽取结果保密。</w:t>
      </w:r>
    </w:p>
    <w:p w14:paraId="324317DA">
      <w:pPr>
        <w:spacing w:line="360" w:lineRule="auto"/>
        <w:ind w:firstLine="420" w:firstLineChars="200"/>
        <w:rPr>
          <w:rFonts w:hint="eastAsia" w:eastAsia="宋体"/>
          <w:szCs w:val="21"/>
          <w:lang w:val="en-US" w:eastAsia="zh-CN"/>
        </w:rPr>
      </w:pPr>
      <w:r>
        <w:rPr>
          <w:rFonts w:hint="default"/>
          <w:szCs w:val="21"/>
          <w:lang w:val="en-US" w:eastAsia="zh-CN"/>
        </w:rPr>
        <w:t>1</w:t>
      </w:r>
      <w:r>
        <w:rPr>
          <w:rFonts w:hint="eastAsia"/>
          <w:szCs w:val="21"/>
          <w:lang w:val="en-US" w:eastAsia="zh-CN"/>
        </w:rPr>
        <w:t>2</w:t>
      </w:r>
      <w:r>
        <w:rPr>
          <w:rFonts w:hint="default"/>
          <w:szCs w:val="21"/>
          <w:lang w:val="en-US" w:eastAsia="zh-CN"/>
        </w:rPr>
        <w:t>.</w:t>
      </w:r>
      <w:r>
        <w:rPr>
          <w:rFonts w:hint="default"/>
          <w:szCs w:val="21"/>
        </w:rPr>
        <w:t>评审办法。应根据本次发包的实际情况合理选定评审办法</w:t>
      </w:r>
      <w:r>
        <w:rPr>
          <w:rFonts w:hint="eastAsia"/>
          <w:szCs w:val="21"/>
          <w:lang w:eastAsia="zh-CN"/>
        </w:rPr>
        <w:t>。</w:t>
      </w:r>
    </w:p>
    <w:bookmarkEnd w:id="3"/>
    <w:p w14:paraId="007C1A7E">
      <w:pPr>
        <w:spacing w:line="360" w:lineRule="auto"/>
        <w:ind w:firstLine="420" w:firstLineChars="200"/>
        <w:rPr>
          <w:szCs w:val="21"/>
        </w:rPr>
      </w:pPr>
      <w:r>
        <w:rPr>
          <w:rFonts w:hint="eastAsia"/>
          <w:szCs w:val="21"/>
        </w:rPr>
        <w:t>1</w:t>
      </w:r>
      <w:r>
        <w:rPr>
          <w:rFonts w:hint="eastAsia"/>
          <w:szCs w:val="21"/>
          <w:lang w:val="en-US" w:eastAsia="zh-CN"/>
        </w:rPr>
        <w:t>3</w:t>
      </w:r>
      <w:r>
        <w:rPr>
          <w:rFonts w:hint="eastAsia"/>
          <w:szCs w:val="21"/>
        </w:rPr>
        <w:t>.</w:t>
      </w:r>
      <w:r>
        <w:rPr>
          <w:rFonts w:hint="eastAsia"/>
          <w:szCs w:val="21"/>
          <w:lang w:val="en-US" w:eastAsia="zh-CN"/>
        </w:rPr>
        <w:t>发包</w:t>
      </w:r>
      <w:r>
        <w:rPr>
          <w:rFonts w:hint="eastAsia"/>
          <w:szCs w:val="21"/>
        </w:rPr>
        <w:t>活动应依法接受社会监督。监督机构应在“</w:t>
      </w:r>
      <w:r>
        <w:rPr>
          <w:rFonts w:hint="eastAsia"/>
          <w:szCs w:val="21"/>
          <w:lang w:val="en-US" w:eastAsia="zh-CN"/>
        </w:rPr>
        <w:t>竞包</w:t>
      </w:r>
      <w:r>
        <w:rPr>
          <w:rFonts w:hint="eastAsia"/>
          <w:szCs w:val="21"/>
        </w:rPr>
        <w:t>人须知前附表”中明确，一般应由项目属地乡镇进行监督。</w:t>
      </w:r>
    </w:p>
    <w:p w14:paraId="712ABC8A">
      <w:pPr>
        <w:spacing w:line="360" w:lineRule="auto"/>
        <w:ind w:firstLine="420" w:firstLineChars="200"/>
        <w:rPr>
          <w:rFonts w:hint="eastAsia" w:eastAsia="宋体"/>
          <w:szCs w:val="21"/>
          <w:lang w:eastAsia="zh-CN"/>
        </w:rPr>
      </w:pPr>
      <w:r>
        <w:rPr>
          <w:szCs w:val="21"/>
        </w:rPr>
        <w:t>1</w:t>
      </w:r>
      <w:r>
        <w:rPr>
          <w:rFonts w:hint="eastAsia"/>
          <w:szCs w:val="21"/>
          <w:lang w:val="en-US" w:eastAsia="zh-CN"/>
        </w:rPr>
        <w:t>3</w:t>
      </w:r>
      <w:r>
        <w:rPr>
          <w:szCs w:val="21"/>
        </w:rPr>
        <w:t>.</w:t>
      </w:r>
      <w:r>
        <w:rPr>
          <w:rFonts w:hint="eastAsia"/>
          <w:szCs w:val="21"/>
          <w:lang w:eastAsia="zh-CN"/>
        </w:rPr>
        <w:t>根据实际情况需要补充的其他内容，应集中在第10条，并在10.4条后依次排序，如10.5、10.6…。</w:t>
      </w:r>
    </w:p>
    <w:p w14:paraId="5ABF31DE">
      <w:pPr>
        <w:adjustRightInd w:val="0"/>
        <w:snapToGrid w:val="0"/>
        <w:spacing w:line="360" w:lineRule="auto"/>
        <w:ind w:firstLine="420" w:firstLineChars="200"/>
        <w:rPr>
          <w:rFonts w:eastAsia="黑体"/>
          <w:szCs w:val="21"/>
        </w:rPr>
      </w:pPr>
      <w:r>
        <w:rPr>
          <w:rFonts w:eastAsia="黑体"/>
          <w:szCs w:val="21"/>
        </w:rPr>
        <w:t>四、评</w:t>
      </w:r>
      <w:r>
        <w:rPr>
          <w:rFonts w:hint="eastAsia" w:eastAsia="黑体"/>
          <w:szCs w:val="21"/>
          <w:lang w:val="en-US" w:eastAsia="zh-CN"/>
        </w:rPr>
        <w:t>审</w:t>
      </w:r>
      <w:r>
        <w:rPr>
          <w:rFonts w:eastAsia="黑体"/>
          <w:szCs w:val="21"/>
        </w:rPr>
        <w:t>办法部分</w:t>
      </w:r>
    </w:p>
    <w:p w14:paraId="7E625FD5">
      <w:pPr>
        <w:adjustRightInd w:val="0"/>
        <w:snapToGrid w:val="0"/>
        <w:spacing w:line="360" w:lineRule="auto"/>
        <w:ind w:firstLine="420" w:firstLineChars="200"/>
        <w:rPr>
          <w:rFonts w:hint="eastAsia"/>
          <w:szCs w:val="21"/>
          <w:lang w:eastAsia="zh-CN"/>
        </w:rPr>
      </w:pPr>
      <w:r>
        <w:rPr>
          <w:rFonts w:hint="default"/>
          <w:szCs w:val="21"/>
        </w:rPr>
        <w:t>发包人应根据发包的实际情况合理选择随机抽取法或者下浮率法。</w:t>
      </w:r>
    </w:p>
    <w:p w14:paraId="73775F67">
      <w:pPr>
        <w:adjustRightInd w:val="0"/>
        <w:snapToGrid w:val="0"/>
        <w:spacing w:line="360" w:lineRule="auto"/>
        <w:ind w:firstLine="420" w:firstLineChars="200"/>
        <w:rPr>
          <w:rFonts w:eastAsia="黑体"/>
          <w:szCs w:val="21"/>
        </w:rPr>
      </w:pPr>
      <w:r>
        <w:rPr>
          <w:rFonts w:eastAsia="黑体"/>
          <w:szCs w:val="21"/>
        </w:rPr>
        <w:t>五、合同条款及格式</w:t>
      </w:r>
    </w:p>
    <w:p w14:paraId="13B4E675">
      <w:pPr>
        <w:spacing w:line="360" w:lineRule="auto"/>
        <w:ind w:firstLine="420" w:firstLineChars="200"/>
        <w:rPr>
          <w:szCs w:val="21"/>
        </w:rPr>
      </w:pPr>
      <w:r>
        <w:rPr>
          <w:szCs w:val="21"/>
        </w:rPr>
        <w:t>（一）“通用合同条款”及“A.公路工程专用合同条款”</w:t>
      </w:r>
    </w:p>
    <w:p w14:paraId="737DF867">
      <w:pPr>
        <w:spacing w:line="360" w:lineRule="auto"/>
        <w:ind w:firstLine="420" w:firstLineChars="200"/>
        <w:rPr>
          <w:szCs w:val="21"/>
        </w:rPr>
      </w:pPr>
      <w:r>
        <w:rPr>
          <w:szCs w:val="21"/>
        </w:rPr>
        <w:t>“通用合同条款”全文引用</w:t>
      </w:r>
      <w:r>
        <w:rPr>
          <w:rFonts w:hint="eastAsia"/>
          <w:szCs w:val="21"/>
        </w:rPr>
        <w:t>九部委</w:t>
      </w:r>
      <w:r>
        <w:rPr>
          <w:szCs w:val="21"/>
        </w:rPr>
        <w:t>《标准施工</w:t>
      </w:r>
      <w:r>
        <w:rPr>
          <w:rFonts w:hint="eastAsia"/>
          <w:szCs w:val="21"/>
          <w:lang w:val="en-US" w:eastAsia="zh-CN"/>
        </w:rPr>
        <w:t>招标文件</w:t>
      </w:r>
      <w:r>
        <w:rPr>
          <w:szCs w:val="21"/>
        </w:rPr>
        <w:t>》（2007年版）内容</w:t>
      </w:r>
      <w:r>
        <w:rPr>
          <w:rFonts w:hint="eastAsia"/>
          <w:szCs w:val="21"/>
        </w:rPr>
        <w:t>，</w:t>
      </w:r>
      <w:r>
        <w:rPr>
          <w:szCs w:val="21"/>
        </w:rPr>
        <w:t>“A.公路工程专用合同条款”全文引用交通运输部《公路工程标准施工</w:t>
      </w:r>
      <w:r>
        <w:rPr>
          <w:rFonts w:hint="eastAsia"/>
          <w:szCs w:val="21"/>
          <w:lang w:val="en-US" w:eastAsia="zh-CN"/>
        </w:rPr>
        <w:t>招标文件</w:t>
      </w:r>
      <w:r>
        <w:rPr>
          <w:szCs w:val="21"/>
        </w:rPr>
        <w:t>》（2018年版）内容。</w:t>
      </w:r>
    </w:p>
    <w:p w14:paraId="27BE44BE">
      <w:pPr>
        <w:spacing w:line="360" w:lineRule="auto"/>
        <w:ind w:firstLine="420" w:firstLineChars="200"/>
        <w:rPr>
          <w:szCs w:val="21"/>
        </w:rPr>
      </w:pPr>
      <w:r>
        <w:rPr>
          <w:szCs w:val="21"/>
        </w:rPr>
        <w:t>（二）项目专用合同条款数据表</w:t>
      </w:r>
    </w:p>
    <w:p w14:paraId="775E9265">
      <w:pPr>
        <w:spacing w:line="360" w:lineRule="auto"/>
        <w:ind w:firstLine="420" w:firstLineChars="200"/>
        <w:rPr>
          <w:szCs w:val="21"/>
        </w:rPr>
      </w:pPr>
      <w:r>
        <w:rPr>
          <w:szCs w:val="21"/>
        </w:rPr>
        <w:t>1. 项目专用合同条款数据表是项目专用合同条款中适用于本项目的信息和数据的归纳与提示，是项目专用合同条款的组成部分。</w:t>
      </w:r>
    </w:p>
    <w:p w14:paraId="5B0B2ED1">
      <w:pPr>
        <w:spacing w:line="360" w:lineRule="auto"/>
        <w:ind w:firstLine="420" w:firstLineChars="200"/>
        <w:rPr>
          <w:rFonts w:hint="default" w:eastAsia="宋体"/>
          <w:szCs w:val="21"/>
          <w:lang w:val="en-US" w:eastAsia="zh-CN"/>
        </w:rPr>
      </w:pPr>
      <w:r>
        <w:rPr>
          <w:szCs w:val="21"/>
        </w:rPr>
        <w:t>2. 缺陷责任期。土建工程自实际交工日期起计算2年</w:t>
      </w:r>
      <w:r>
        <w:rPr>
          <w:rFonts w:hint="eastAsia"/>
          <w:szCs w:val="21"/>
        </w:rPr>
        <w:t>。</w:t>
      </w:r>
      <w:r>
        <w:rPr>
          <w:szCs w:val="21"/>
        </w:rPr>
        <w:t>机电工程自实际交工日期起计算1年，最长不超过2 年。</w:t>
      </w:r>
      <w:r>
        <w:rPr>
          <w:rFonts w:hint="eastAsia"/>
          <w:szCs w:val="21"/>
          <w:lang w:val="en-US" w:eastAsia="zh-CN"/>
        </w:rPr>
        <w:t>养护工程一般为1年。</w:t>
      </w:r>
    </w:p>
    <w:p w14:paraId="61A37839">
      <w:pPr>
        <w:spacing w:line="360" w:lineRule="auto"/>
        <w:ind w:firstLine="420" w:firstLineChars="200"/>
        <w:rPr>
          <w:szCs w:val="21"/>
        </w:rPr>
      </w:pPr>
      <w:r>
        <w:rPr>
          <w:szCs w:val="21"/>
        </w:rPr>
        <w:t>3. 逾期交工违约金。一般为1</w:t>
      </w:r>
      <w:r>
        <w:rPr>
          <w:rFonts w:hint="eastAsia"/>
          <w:szCs w:val="21"/>
        </w:rPr>
        <w:t>～</w:t>
      </w:r>
      <w:r>
        <w:rPr>
          <w:szCs w:val="21"/>
        </w:rPr>
        <w:t>2‰</w:t>
      </w:r>
      <w:r>
        <w:rPr>
          <w:rFonts w:hint="eastAsia"/>
          <w:szCs w:val="21"/>
        </w:rPr>
        <w:t>签约合同价</w:t>
      </w:r>
      <w:r>
        <w:rPr>
          <w:szCs w:val="21"/>
        </w:rPr>
        <w:t>/</w:t>
      </w:r>
      <w:r>
        <w:rPr>
          <w:rFonts w:hint="eastAsia"/>
          <w:szCs w:val="21"/>
        </w:rPr>
        <w:t>天，逾期交工违约金限额一般应为</w:t>
      </w:r>
      <w:r>
        <w:rPr>
          <w:szCs w:val="21"/>
        </w:rPr>
        <w:t>10%</w:t>
      </w:r>
      <w:r>
        <w:rPr>
          <w:rFonts w:hint="eastAsia"/>
          <w:szCs w:val="21"/>
        </w:rPr>
        <w:t>签约合同价。</w:t>
      </w:r>
    </w:p>
    <w:p w14:paraId="0D2CEAC4">
      <w:pPr>
        <w:spacing w:line="360" w:lineRule="auto"/>
        <w:ind w:firstLine="420" w:firstLineChars="200"/>
        <w:rPr>
          <w:szCs w:val="21"/>
        </w:rPr>
      </w:pPr>
      <w:r>
        <w:rPr>
          <w:szCs w:val="21"/>
        </w:rPr>
        <w:t>4.</w:t>
      </w:r>
      <w:r>
        <w:rPr>
          <w:rFonts w:hint="eastAsia"/>
          <w:szCs w:val="21"/>
        </w:rPr>
        <w:t xml:space="preserve"> 发包人不得随意要求承包人提前交工。</w:t>
      </w:r>
      <w:r>
        <w:rPr>
          <w:szCs w:val="21"/>
        </w:rPr>
        <w:t xml:space="preserve"> </w:t>
      </w:r>
    </w:p>
    <w:p w14:paraId="6FB9A887">
      <w:pPr>
        <w:spacing w:line="360" w:lineRule="auto"/>
        <w:ind w:firstLine="420" w:firstLineChars="200"/>
        <w:rPr>
          <w:szCs w:val="21"/>
        </w:rPr>
      </w:pPr>
      <w:r>
        <w:rPr>
          <w:szCs w:val="21"/>
        </w:rPr>
        <w:t xml:space="preserve">5. </w:t>
      </w:r>
      <w:r>
        <w:rPr>
          <w:rFonts w:hint="eastAsia"/>
          <w:szCs w:val="21"/>
        </w:rPr>
        <w:t>物价波动引起的价格调整。合同预期工期超过一年时，在合同执行期间，</w:t>
      </w:r>
      <w:r>
        <w:rPr>
          <w:rFonts w:hint="eastAsia"/>
          <w:kern w:val="0"/>
          <w:szCs w:val="32"/>
        </w:rPr>
        <w:t>发包人应充分考虑材料价格波动风险，在</w:t>
      </w:r>
      <w:r>
        <w:rPr>
          <w:rFonts w:hint="eastAsia"/>
          <w:kern w:val="0"/>
          <w:szCs w:val="32"/>
          <w:lang w:eastAsia="zh-CN"/>
        </w:rPr>
        <w:t>发包文件</w:t>
      </w:r>
      <w:r>
        <w:rPr>
          <w:rFonts w:hint="eastAsia"/>
          <w:kern w:val="0"/>
          <w:szCs w:val="32"/>
        </w:rPr>
        <w:t>中合理设置建筑材料价格的调整条款、风险防控幅度以及超过可预见风险范围以外的调整办法。</w:t>
      </w:r>
      <w:r>
        <w:rPr>
          <w:rFonts w:hint="eastAsia"/>
          <w:szCs w:val="21"/>
        </w:rPr>
        <w:t>用于永久性工程的主要材料（包括地方材料）的合同价格一般应进行调整。价格调整应参照省交通运输厅有关规定，宜采用合同条款中的</w:t>
      </w:r>
      <w:r>
        <w:rPr>
          <w:szCs w:val="21"/>
        </w:rPr>
        <w:t xml:space="preserve">“16.1.2 </w:t>
      </w:r>
      <w:r>
        <w:rPr>
          <w:rFonts w:hint="eastAsia"/>
          <w:szCs w:val="21"/>
        </w:rPr>
        <w:t>采用造价信息调整价格差额</w:t>
      </w:r>
      <w:r>
        <w:rPr>
          <w:szCs w:val="21"/>
        </w:rPr>
        <w:t>”</w:t>
      </w:r>
      <w:r>
        <w:rPr>
          <w:rFonts w:hint="eastAsia"/>
          <w:szCs w:val="21"/>
        </w:rPr>
        <w:t>。</w:t>
      </w:r>
    </w:p>
    <w:p w14:paraId="4AADF197">
      <w:pPr>
        <w:spacing w:line="360" w:lineRule="auto"/>
        <w:ind w:firstLine="420" w:firstLineChars="200"/>
        <w:rPr>
          <w:szCs w:val="21"/>
        </w:rPr>
      </w:pPr>
      <w:r>
        <w:rPr>
          <w:szCs w:val="21"/>
        </w:rPr>
        <w:t xml:space="preserve">6. </w:t>
      </w:r>
      <w:r>
        <w:rPr>
          <w:rFonts w:hint="eastAsia"/>
          <w:szCs w:val="21"/>
        </w:rPr>
        <w:t>开工预付款的金额。一般应为</w:t>
      </w:r>
      <w:r>
        <w:rPr>
          <w:szCs w:val="21"/>
        </w:rPr>
        <w:t>10%</w:t>
      </w:r>
      <w:r>
        <w:rPr>
          <w:rFonts w:hint="eastAsia"/>
          <w:szCs w:val="21"/>
        </w:rPr>
        <w:t>签约合同价。</w:t>
      </w:r>
    </w:p>
    <w:p w14:paraId="7A5DAF6C">
      <w:pPr>
        <w:spacing w:line="360" w:lineRule="auto"/>
        <w:ind w:firstLine="420" w:firstLineChars="200"/>
        <w:rPr>
          <w:szCs w:val="21"/>
        </w:rPr>
      </w:pPr>
      <w:r>
        <w:rPr>
          <w:szCs w:val="21"/>
        </w:rPr>
        <w:t xml:space="preserve">7. </w:t>
      </w:r>
      <w:r>
        <w:rPr>
          <w:rFonts w:hint="eastAsia"/>
          <w:szCs w:val="21"/>
        </w:rPr>
        <w:t>材料、设备预付款比例。发包人应给承包人支付一定比例的材料、设备预付款，以供承包人购进将用于和安装在永久工程中的主要材料、设备，其支付比例最低不少于</w:t>
      </w:r>
      <w:r>
        <w:rPr>
          <w:szCs w:val="21"/>
        </w:rPr>
        <w:t>60%</w:t>
      </w:r>
      <w:r>
        <w:rPr>
          <w:rFonts w:hint="eastAsia"/>
          <w:szCs w:val="21"/>
        </w:rPr>
        <w:t>。主要材料（钢材、水泥、沥青、地方材料等）由</w:t>
      </w:r>
      <w:r>
        <w:rPr>
          <w:rFonts w:hint="eastAsia"/>
          <w:szCs w:val="21"/>
          <w:lang w:eastAsia="zh-CN"/>
        </w:rPr>
        <w:t>发包人</w:t>
      </w:r>
      <w:r>
        <w:rPr>
          <w:rFonts w:hint="eastAsia"/>
          <w:szCs w:val="21"/>
        </w:rPr>
        <w:t>酌定。没有特殊情况，</w:t>
      </w:r>
      <w:r>
        <w:rPr>
          <w:rFonts w:hint="eastAsia"/>
          <w:szCs w:val="21"/>
          <w:lang w:eastAsia="zh-CN"/>
        </w:rPr>
        <w:t>发包人</w:t>
      </w:r>
      <w:r>
        <w:rPr>
          <w:rFonts w:hint="eastAsia"/>
          <w:szCs w:val="21"/>
        </w:rPr>
        <w:t>不得取消或减少材料、设备预付款的比例。</w:t>
      </w:r>
    </w:p>
    <w:p w14:paraId="6D947662">
      <w:pPr>
        <w:spacing w:line="360" w:lineRule="auto"/>
        <w:ind w:firstLine="420" w:firstLineChars="200"/>
        <w:rPr>
          <w:szCs w:val="21"/>
        </w:rPr>
      </w:pPr>
      <w:r>
        <w:rPr>
          <w:szCs w:val="21"/>
        </w:rPr>
        <w:t xml:space="preserve">8. </w:t>
      </w:r>
      <w:r>
        <w:rPr>
          <w:rFonts w:hint="eastAsia"/>
          <w:szCs w:val="21"/>
        </w:rPr>
        <w:t>安全生产费。</w:t>
      </w:r>
      <w:r>
        <w:rPr>
          <w:rFonts w:hint="eastAsia"/>
        </w:rPr>
        <w:t>安全生产费用宜为</w:t>
      </w:r>
      <w:r>
        <w:rPr>
          <w:rFonts w:hint="eastAsia"/>
          <w:lang w:eastAsia="zh-CN"/>
        </w:rPr>
        <w:t>发包人</w:t>
      </w:r>
      <w:r>
        <w:rPr>
          <w:rFonts w:hint="eastAsia"/>
        </w:rPr>
        <w:t>公布的工程量清单预算的</w:t>
      </w:r>
      <w:r>
        <w:rPr>
          <w:rFonts w:hint="eastAsia" w:eastAsia="宋体"/>
          <w:lang w:val="en-US" w:eastAsia="zh-CN"/>
        </w:rPr>
        <w:t>1.5</w:t>
      </w:r>
      <w:r>
        <w:rPr>
          <w:rFonts w:eastAsia="Times New Roman"/>
        </w:rPr>
        <w:t>%</w:t>
      </w:r>
      <w:r>
        <w:rPr>
          <w:rFonts w:hint="eastAsia"/>
        </w:rPr>
        <w:t>。</w:t>
      </w:r>
    </w:p>
    <w:p w14:paraId="133FC9D5">
      <w:pPr>
        <w:spacing w:line="360" w:lineRule="auto"/>
        <w:ind w:firstLine="420" w:firstLineChars="200"/>
        <w:rPr>
          <w:szCs w:val="21"/>
        </w:rPr>
      </w:pPr>
      <w:r>
        <w:rPr>
          <w:szCs w:val="21"/>
        </w:rPr>
        <w:t xml:space="preserve">9. </w:t>
      </w:r>
      <w:r>
        <w:rPr>
          <w:rFonts w:hint="eastAsia"/>
          <w:szCs w:val="21"/>
        </w:rPr>
        <w:t>质量保证金。交工验收证书签发后</w:t>
      </w:r>
      <w:r>
        <w:rPr>
          <w:szCs w:val="21"/>
        </w:rPr>
        <w:t xml:space="preserve"> 14 </w:t>
      </w:r>
      <w:r>
        <w:rPr>
          <w:rFonts w:hint="eastAsia"/>
          <w:szCs w:val="21"/>
        </w:rPr>
        <w:t>天内，承包人应向发包人缴纳质量保证金。质量保证金可采用银行保函、保险公司保函、融资担保公司保函或现金、支票形式，由承包人自行选择。金额为</w:t>
      </w:r>
      <w:r>
        <w:rPr>
          <w:szCs w:val="21"/>
        </w:rPr>
        <w:t>1.5</w:t>
      </w:r>
      <w:r>
        <w:rPr>
          <w:rFonts w:hint="eastAsia"/>
          <w:szCs w:val="21"/>
        </w:rPr>
        <w:t>％合同价格。</w:t>
      </w:r>
    </w:p>
    <w:p w14:paraId="3106683F">
      <w:pPr>
        <w:spacing w:line="360" w:lineRule="auto"/>
        <w:ind w:firstLine="420" w:firstLineChars="200"/>
        <w:rPr>
          <w:szCs w:val="21"/>
        </w:rPr>
      </w:pPr>
      <w:r>
        <w:rPr>
          <w:szCs w:val="21"/>
        </w:rPr>
        <w:t>（三）项目专用合同条款</w:t>
      </w:r>
    </w:p>
    <w:p w14:paraId="0C99E9F3">
      <w:pPr>
        <w:spacing w:line="360" w:lineRule="auto"/>
        <w:ind w:firstLine="420" w:firstLineChars="200"/>
        <w:rPr>
          <w:szCs w:val="21"/>
        </w:rPr>
      </w:pPr>
      <w:r>
        <w:rPr>
          <w:szCs w:val="21"/>
        </w:rPr>
        <w:t>1. “</w:t>
      </w:r>
      <w:r>
        <w:rPr>
          <w:rFonts w:hint="eastAsia"/>
          <w:szCs w:val="21"/>
        </w:rPr>
        <w:t>项目专用合同条款</w:t>
      </w:r>
      <w:r>
        <w:rPr>
          <w:szCs w:val="21"/>
        </w:rPr>
        <w:t>”</w:t>
      </w:r>
      <w:r>
        <w:rPr>
          <w:rFonts w:hint="eastAsia"/>
          <w:szCs w:val="21"/>
        </w:rPr>
        <w:t>根据项目的特点和实际需要，对</w:t>
      </w:r>
      <w:r>
        <w:rPr>
          <w:szCs w:val="21"/>
        </w:rPr>
        <w:t>“</w:t>
      </w:r>
      <w:r>
        <w:rPr>
          <w:rFonts w:hint="eastAsia"/>
          <w:szCs w:val="21"/>
        </w:rPr>
        <w:t>通用合同条款</w:t>
      </w:r>
      <w:r>
        <w:rPr>
          <w:szCs w:val="21"/>
        </w:rPr>
        <w:t>”</w:t>
      </w:r>
      <w:r>
        <w:rPr>
          <w:rFonts w:hint="eastAsia"/>
          <w:szCs w:val="21"/>
        </w:rPr>
        <w:t>、</w:t>
      </w:r>
      <w:r>
        <w:rPr>
          <w:szCs w:val="21"/>
        </w:rPr>
        <w:t>“</w:t>
      </w:r>
      <w:r>
        <w:rPr>
          <w:rFonts w:hint="eastAsia"/>
          <w:szCs w:val="21"/>
        </w:rPr>
        <w:t>A</w:t>
      </w:r>
      <w:r>
        <w:rPr>
          <w:szCs w:val="21"/>
        </w:rPr>
        <w:t>.</w:t>
      </w:r>
      <w:r>
        <w:rPr>
          <w:rFonts w:hint="eastAsia"/>
          <w:szCs w:val="21"/>
        </w:rPr>
        <w:t>公路工程专用合同条款</w:t>
      </w:r>
      <w:r>
        <w:rPr>
          <w:szCs w:val="21"/>
        </w:rPr>
        <w:t>”</w:t>
      </w:r>
      <w:r>
        <w:rPr>
          <w:rFonts w:hint="eastAsia"/>
          <w:szCs w:val="21"/>
        </w:rPr>
        <w:t>进行补充、细化或约定，应对照</w:t>
      </w:r>
      <w:r>
        <w:rPr>
          <w:szCs w:val="21"/>
        </w:rPr>
        <w:t>“</w:t>
      </w:r>
      <w:r>
        <w:rPr>
          <w:rFonts w:hint="eastAsia"/>
          <w:szCs w:val="21"/>
        </w:rPr>
        <w:t>通用合同条款</w:t>
      </w:r>
      <w:r>
        <w:rPr>
          <w:szCs w:val="21"/>
        </w:rPr>
        <w:t>”</w:t>
      </w:r>
      <w:r>
        <w:rPr>
          <w:rFonts w:hint="eastAsia"/>
          <w:szCs w:val="21"/>
        </w:rPr>
        <w:t>、</w:t>
      </w:r>
      <w:r>
        <w:rPr>
          <w:szCs w:val="21"/>
        </w:rPr>
        <w:t>“A.</w:t>
      </w:r>
      <w:r>
        <w:rPr>
          <w:rFonts w:hint="eastAsia"/>
          <w:szCs w:val="21"/>
        </w:rPr>
        <w:t>公路工程专用合同条款</w:t>
      </w:r>
      <w:r>
        <w:rPr>
          <w:szCs w:val="21"/>
        </w:rPr>
        <w:t>”</w:t>
      </w:r>
      <w:r>
        <w:rPr>
          <w:rFonts w:hint="eastAsia"/>
          <w:szCs w:val="21"/>
        </w:rPr>
        <w:t>中同一编号的条款一起阅读和理解。</w:t>
      </w:r>
    </w:p>
    <w:p w14:paraId="205E1E17">
      <w:pPr>
        <w:spacing w:line="360" w:lineRule="auto"/>
        <w:ind w:firstLine="420" w:firstLineChars="200"/>
        <w:rPr>
          <w:szCs w:val="21"/>
        </w:rPr>
      </w:pPr>
      <w:r>
        <w:rPr>
          <w:rFonts w:hint="eastAsia"/>
          <w:szCs w:val="21"/>
        </w:rPr>
        <w:t>2</w:t>
      </w:r>
      <w:r>
        <w:rPr>
          <w:szCs w:val="21"/>
        </w:rPr>
        <w:t>. “项目专用合同条款”</w:t>
      </w:r>
      <w:r>
        <w:rPr>
          <w:rFonts w:hint="eastAsia"/>
          <w:szCs w:val="21"/>
        </w:rPr>
        <w:t>应对农民工工资支付、承包人安全责任、环境保护、变更、价格调整等内容进行</w:t>
      </w:r>
      <w:r>
        <w:rPr>
          <w:szCs w:val="21"/>
        </w:rPr>
        <w:t>补充、细化或约定</w:t>
      </w:r>
      <w:r>
        <w:rPr>
          <w:rFonts w:hint="eastAsia"/>
          <w:szCs w:val="21"/>
        </w:rPr>
        <w:t>。</w:t>
      </w:r>
    </w:p>
    <w:p w14:paraId="4EF4BBDD">
      <w:pPr>
        <w:spacing w:line="360" w:lineRule="auto"/>
        <w:ind w:firstLine="420" w:firstLineChars="200"/>
        <w:rPr>
          <w:szCs w:val="21"/>
        </w:rPr>
      </w:pPr>
      <w:r>
        <w:rPr>
          <w:rFonts w:hint="eastAsia"/>
          <w:szCs w:val="21"/>
        </w:rPr>
        <w:t>鼓励“工完账清”。</w:t>
      </w:r>
    </w:p>
    <w:p w14:paraId="6E355E16">
      <w:pPr>
        <w:spacing w:line="360" w:lineRule="auto"/>
        <w:ind w:firstLine="420" w:firstLineChars="200"/>
        <w:rPr>
          <w:szCs w:val="21"/>
        </w:rPr>
      </w:pPr>
      <w:r>
        <w:rPr>
          <w:szCs w:val="21"/>
        </w:rPr>
        <w:t>3. 违约处理</w:t>
      </w:r>
    </w:p>
    <w:p w14:paraId="7E185BFA">
      <w:pPr>
        <w:spacing w:line="360" w:lineRule="auto"/>
        <w:ind w:firstLine="420" w:firstLineChars="200"/>
        <w:rPr>
          <w:szCs w:val="21"/>
        </w:rPr>
      </w:pPr>
      <w:r>
        <w:rPr>
          <w:szCs w:val="21"/>
        </w:rPr>
        <w:t>为了确保工程的实施，督促承包人、发包人认真履行合同，有必要在“项目专用合同条款”中以课以违约金等的方式对承包人、发包人的违约行为予以处理。</w:t>
      </w:r>
    </w:p>
    <w:p w14:paraId="72DFC623">
      <w:pPr>
        <w:spacing w:line="360" w:lineRule="auto"/>
        <w:ind w:firstLine="420" w:firstLineChars="200"/>
        <w:rPr>
          <w:szCs w:val="21"/>
        </w:rPr>
      </w:pPr>
      <w:r>
        <w:rPr>
          <w:szCs w:val="21"/>
        </w:rPr>
        <w:t>所有需要对承包人作违约处理的条款应在“承包人违约的情形”中予以明确，相对应的对违约的处理应在“对承包人违约的处理”中逐条明确。主要违约处理</w:t>
      </w:r>
      <w:r>
        <w:rPr>
          <w:rFonts w:hint="eastAsia"/>
          <w:szCs w:val="21"/>
        </w:rPr>
        <w:t>一般约</w:t>
      </w:r>
      <w:r>
        <w:rPr>
          <w:szCs w:val="21"/>
        </w:rPr>
        <w:t>定如下：</w:t>
      </w:r>
    </w:p>
    <w:p w14:paraId="5CE0DDC3">
      <w:pPr>
        <w:spacing w:line="360" w:lineRule="auto"/>
        <w:ind w:firstLine="420" w:firstLineChars="200"/>
        <w:rPr>
          <w:szCs w:val="21"/>
        </w:rPr>
      </w:pPr>
      <w:r>
        <w:rPr>
          <w:szCs w:val="21"/>
        </w:rPr>
        <w:t>（1）若违反关于工程质量必须达到竣</w:t>
      </w:r>
      <w:r>
        <w:rPr>
          <w:rFonts w:hint="eastAsia"/>
          <w:szCs w:val="21"/>
          <w:lang w:eastAsia="zh-CN"/>
        </w:rPr>
        <w:t>（</w:t>
      </w:r>
      <w:r>
        <w:rPr>
          <w:rFonts w:hint="eastAsia"/>
          <w:szCs w:val="21"/>
          <w:lang w:val="en-US" w:eastAsia="zh-CN"/>
        </w:rPr>
        <w:t>交）</w:t>
      </w:r>
      <w:r>
        <w:rPr>
          <w:szCs w:val="21"/>
        </w:rPr>
        <w:t>工验收的质量评定要求的，则课以不超过1%签约合同价的违约金。</w:t>
      </w:r>
    </w:p>
    <w:p w14:paraId="5CDE0309">
      <w:pPr>
        <w:spacing w:line="360" w:lineRule="auto"/>
        <w:ind w:firstLine="420" w:firstLineChars="200"/>
        <w:rPr>
          <w:szCs w:val="21"/>
        </w:rPr>
      </w:pPr>
      <w:r>
        <w:rPr>
          <w:szCs w:val="21"/>
        </w:rPr>
        <w:t>（</w:t>
      </w:r>
      <w:r>
        <w:rPr>
          <w:rFonts w:hint="eastAsia"/>
          <w:szCs w:val="21"/>
          <w:lang w:val="en-US" w:eastAsia="zh-CN"/>
        </w:rPr>
        <w:t>2</w:t>
      </w:r>
      <w:r>
        <w:rPr>
          <w:szCs w:val="21"/>
        </w:rPr>
        <w:t>）若违反资金管理的规定，移用或挪用本合同资金，则课以移（挪）用资金</w:t>
      </w:r>
      <w:r>
        <w:rPr>
          <w:rFonts w:hint="eastAsia"/>
          <w:szCs w:val="21"/>
        </w:rPr>
        <w:t>10%</w:t>
      </w:r>
      <w:r>
        <w:rPr>
          <w:szCs w:val="21"/>
        </w:rPr>
        <w:t>的违约金。</w:t>
      </w:r>
    </w:p>
    <w:p w14:paraId="6E5ECC51">
      <w:pPr>
        <w:spacing w:line="360" w:lineRule="auto"/>
        <w:ind w:firstLine="420" w:firstLineChars="200"/>
        <w:rPr>
          <w:szCs w:val="21"/>
        </w:rPr>
      </w:pPr>
      <w:r>
        <w:rPr>
          <w:szCs w:val="21"/>
        </w:rPr>
        <w:t>（</w:t>
      </w:r>
      <w:r>
        <w:rPr>
          <w:rFonts w:hint="eastAsia"/>
          <w:szCs w:val="21"/>
          <w:lang w:val="en-US" w:eastAsia="zh-CN"/>
        </w:rPr>
        <w:t>3</w:t>
      </w:r>
      <w:r>
        <w:rPr>
          <w:szCs w:val="21"/>
        </w:rPr>
        <w:t>）在合同实施期间发现承包人在</w:t>
      </w:r>
      <w:r>
        <w:rPr>
          <w:rFonts w:hint="eastAsia"/>
          <w:szCs w:val="21"/>
          <w:lang w:val="en-US" w:eastAsia="zh-CN"/>
        </w:rPr>
        <w:t>竞包</w:t>
      </w:r>
      <w:r>
        <w:rPr>
          <w:szCs w:val="21"/>
        </w:rPr>
        <w:t>时提供了虚假材料的，课以不超过2%签约合同价的违约金，并报相应交通运输主管部门按有关规定处理。</w:t>
      </w:r>
    </w:p>
    <w:p w14:paraId="5A41C4F0">
      <w:pPr>
        <w:spacing w:line="360" w:lineRule="auto"/>
        <w:ind w:firstLine="420" w:firstLineChars="200"/>
        <w:rPr>
          <w:szCs w:val="21"/>
        </w:rPr>
      </w:pPr>
      <w:r>
        <w:rPr>
          <w:szCs w:val="21"/>
        </w:rPr>
        <w:t>（</w:t>
      </w:r>
      <w:r>
        <w:rPr>
          <w:rFonts w:hint="eastAsia"/>
          <w:szCs w:val="21"/>
          <w:lang w:val="en-US" w:eastAsia="zh-CN"/>
        </w:rPr>
        <w:t>4</w:t>
      </w:r>
      <w:r>
        <w:rPr>
          <w:szCs w:val="21"/>
        </w:rPr>
        <w:t>）对合同实施期间可能多次发生的违约情形，应对每次发生违约的处理金额予以明确，但总额不应超过相关规定。</w:t>
      </w:r>
    </w:p>
    <w:p w14:paraId="77BA28B4">
      <w:pPr>
        <w:spacing w:line="360" w:lineRule="auto"/>
        <w:ind w:firstLine="420" w:firstLineChars="200"/>
        <w:rPr>
          <w:szCs w:val="21"/>
        </w:rPr>
      </w:pPr>
      <w:r>
        <w:rPr>
          <w:szCs w:val="21"/>
        </w:rPr>
        <w:t>所有需要对发包人作违约处理的条款应在“发包人违约的情形”中予以明确，相对应的对违约的处理应在合同条款中明确。</w:t>
      </w:r>
    </w:p>
    <w:p w14:paraId="26C9A8BF">
      <w:pPr>
        <w:spacing w:line="360" w:lineRule="auto"/>
        <w:ind w:firstLine="420" w:firstLineChars="200"/>
        <w:rPr>
          <w:szCs w:val="21"/>
        </w:rPr>
      </w:pPr>
      <w:r>
        <w:rPr>
          <w:szCs w:val="21"/>
        </w:rPr>
        <w:t>4. 合同附件格式</w:t>
      </w:r>
    </w:p>
    <w:p w14:paraId="56AAF545">
      <w:pPr>
        <w:spacing w:line="360" w:lineRule="auto"/>
        <w:ind w:firstLine="420" w:firstLineChars="200"/>
        <w:rPr>
          <w:szCs w:val="21"/>
        </w:rPr>
      </w:pPr>
      <w:r>
        <w:rPr>
          <w:szCs w:val="21"/>
        </w:rPr>
        <w:t>为了加强公路工程建设项目的廉政、安全、工程质量、工程资金的管理，发包人与承包人在签订工程合同协议书的同时必须签订廉政合同、安全生产合同、工程质量责任合同、工程资金监管协议。上述合同的格式应附在</w:t>
      </w:r>
      <w:r>
        <w:rPr>
          <w:rFonts w:hint="eastAsia"/>
          <w:szCs w:val="21"/>
          <w:lang w:eastAsia="zh-CN"/>
        </w:rPr>
        <w:t>发包文件</w:t>
      </w:r>
      <w:r>
        <w:rPr>
          <w:szCs w:val="21"/>
        </w:rPr>
        <w:t>中。房建工程还应签署保修合同，明确保修责任。</w:t>
      </w:r>
    </w:p>
    <w:p w14:paraId="109BE07E">
      <w:pPr>
        <w:spacing w:line="360" w:lineRule="auto"/>
        <w:ind w:firstLine="420" w:firstLineChars="200"/>
        <w:rPr>
          <w:rFonts w:hint="default" w:eastAsia="宋体"/>
          <w:szCs w:val="21"/>
          <w:lang w:val="en-US" w:eastAsia="zh-CN"/>
        </w:rPr>
      </w:pPr>
      <w:r>
        <w:rPr>
          <w:rFonts w:hint="eastAsia"/>
          <w:szCs w:val="21"/>
          <w:lang w:val="en-US" w:eastAsia="zh-CN"/>
        </w:rPr>
        <w:t>5.养护工程参考《浙江省公路养护工程施工招标文件范本（2024年版）》第四章合同条款及格式编制。</w:t>
      </w:r>
    </w:p>
    <w:p w14:paraId="131C0E93">
      <w:pPr>
        <w:adjustRightInd w:val="0"/>
        <w:snapToGrid w:val="0"/>
        <w:spacing w:line="360" w:lineRule="auto"/>
        <w:ind w:firstLine="420" w:firstLineChars="200"/>
        <w:rPr>
          <w:rFonts w:eastAsia="黑体"/>
          <w:szCs w:val="21"/>
        </w:rPr>
      </w:pPr>
      <w:r>
        <w:rPr>
          <w:rFonts w:eastAsia="黑体"/>
          <w:szCs w:val="21"/>
        </w:rPr>
        <w:t>六、</w:t>
      </w:r>
      <w:r>
        <w:rPr>
          <w:rFonts w:hint="eastAsia" w:eastAsia="黑体"/>
          <w:szCs w:val="21"/>
        </w:rPr>
        <w:t>发包控制价</w:t>
      </w:r>
    </w:p>
    <w:p w14:paraId="35770529">
      <w:pPr>
        <w:spacing w:line="360" w:lineRule="auto"/>
        <w:ind w:firstLine="420" w:firstLineChars="200"/>
        <w:rPr>
          <w:szCs w:val="21"/>
        </w:rPr>
      </w:pPr>
      <w:r>
        <w:rPr>
          <w:rFonts w:hint="eastAsia"/>
          <w:szCs w:val="21"/>
        </w:rPr>
        <w:t>由发包人补充。</w:t>
      </w:r>
    </w:p>
    <w:p w14:paraId="6BA69724">
      <w:pPr>
        <w:adjustRightInd w:val="0"/>
        <w:snapToGrid w:val="0"/>
        <w:spacing w:line="360" w:lineRule="auto"/>
        <w:ind w:firstLine="420" w:firstLineChars="200"/>
        <w:rPr>
          <w:rFonts w:eastAsia="黑体"/>
          <w:szCs w:val="21"/>
        </w:rPr>
      </w:pPr>
      <w:r>
        <w:rPr>
          <w:rFonts w:eastAsia="黑体"/>
          <w:szCs w:val="21"/>
        </w:rPr>
        <w:t>七、图纸</w:t>
      </w:r>
    </w:p>
    <w:p w14:paraId="67CDB21E">
      <w:pPr>
        <w:spacing w:line="360" w:lineRule="auto"/>
        <w:ind w:firstLine="420" w:firstLineChars="200"/>
        <w:rPr>
          <w:szCs w:val="21"/>
        </w:rPr>
      </w:pPr>
      <w:r>
        <w:rPr>
          <w:szCs w:val="21"/>
        </w:rPr>
        <w:t>由</w:t>
      </w:r>
      <w:r>
        <w:rPr>
          <w:rFonts w:hint="eastAsia"/>
          <w:szCs w:val="21"/>
          <w:lang w:eastAsia="zh-CN"/>
        </w:rPr>
        <w:t>发包人</w:t>
      </w:r>
      <w:r>
        <w:rPr>
          <w:szCs w:val="21"/>
        </w:rPr>
        <w:t>根据</w:t>
      </w:r>
      <w:r>
        <w:rPr>
          <w:rFonts w:hint="eastAsia"/>
          <w:szCs w:val="21"/>
          <w:lang w:eastAsia="zh-CN"/>
        </w:rPr>
        <w:t>发包</w:t>
      </w:r>
      <w:r>
        <w:rPr>
          <w:szCs w:val="21"/>
        </w:rPr>
        <w:t>项目具体特点和实际需要编制，并与“</w:t>
      </w:r>
      <w:r>
        <w:rPr>
          <w:rFonts w:hint="eastAsia"/>
          <w:szCs w:val="21"/>
          <w:lang w:eastAsia="zh-CN"/>
        </w:rPr>
        <w:t>竞包人</w:t>
      </w:r>
      <w:r>
        <w:rPr>
          <w:szCs w:val="21"/>
        </w:rPr>
        <w:t>须知”</w:t>
      </w:r>
      <w:r>
        <w:rPr>
          <w:rFonts w:hint="eastAsia"/>
          <w:szCs w:val="21"/>
        </w:rPr>
        <w:t>、</w:t>
      </w:r>
      <w:r>
        <w:rPr>
          <w:szCs w:val="21"/>
        </w:rPr>
        <w:t>“通用合同条款”</w:t>
      </w:r>
      <w:r>
        <w:rPr>
          <w:rFonts w:hint="eastAsia"/>
          <w:szCs w:val="21"/>
        </w:rPr>
        <w:t>、</w:t>
      </w:r>
      <w:r>
        <w:rPr>
          <w:szCs w:val="21"/>
        </w:rPr>
        <w:t>“专用合同条款”</w:t>
      </w:r>
      <w:r>
        <w:rPr>
          <w:rFonts w:hint="eastAsia"/>
          <w:szCs w:val="21"/>
        </w:rPr>
        <w:t>、</w:t>
      </w:r>
      <w:r>
        <w:rPr>
          <w:szCs w:val="21"/>
        </w:rPr>
        <w:t>“技术规范”相衔接。</w:t>
      </w:r>
    </w:p>
    <w:p w14:paraId="2304CBEB">
      <w:pPr>
        <w:adjustRightInd w:val="0"/>
        <w:snapToGrid w:val="0"/>
        <w:spacing w:line="360" w:lineRule="auto"/>
        <w:ind w:firstLine="420" w:firstLineChars="200"/>
        <w:rPr>
          <w:rFonts w:eastAsia="黑体"/>
          <w:szCs w:val="21"/>
        </w:rPr>
      </w:pPr>
      <w:r>
        <w:rPr>
          <w:rFonts w:eastAsia="黑体"/>
          <w:szCs w:val="21"/>
        </w:rPr>
        <w:t>八、技术规范</w:t>
      </w:r>
    </w:p>
    <w:p w14:paraId="55462DED">
      <w:pPr>
        <w:spacing w:line="360" w:lineRule="auto"/>
        <w:ind w:firstLine="420" w:firstLineChars="200"/>
        <w:rPr>
          <w:szCs w:val="21"/>
        </w:rPr>
      </w:pPr>
      <w:r>
        <w:rPr>
          <w:szCs w:val="21"/>
        </w:rPr>
        <w:t>由</w:t>
      </w:r>
      <w:r>
        <w:rPr>
          <w:rFonts w:hint="eastAsia"/>
          <w:szCs w:val="21"/>
          <w:lang w:eastAsia="zh-CN"/>
        </w:rPr>
        <w:t>发包人</w:t>
      </w:r>
      <w:r>
        <w:rPr>
          <w:szCs w:val="21"/>
        </w:rPr>
        <w:t>根据</w:t>
      </w:r>
      <w:r>
        <w:rPr>
          <w:rFonts w:hint="eastAsia"/>
          <w:szCs w:val="21"/>
          <w:lang w:eastAsia="zh-CN"/>
        </w:rPr>
        <w:t>发包</w:t>
      </w:r>
      <w:r>
        <w:rPr>
          <w:szCs w:val="21"/>
        </w:rPr>
        <w:t>项目具体特点和实际需要编制。“技术规范”可由“通用技术规范”和“项目专用技术规范”组成。“通用技术规范”不加修改地引用了《公路工程标准施工</w:t>
      </w:r>
      <w:r>
        <w:rPr>
          <w:rFonts w:hint="eastAsia"/>
          <w:szCs w:val="21"/>
          <w:lang w:val="en-US" w:eastAsia="zh-CN"/>
        </w:rPr>
        <w:t>招标文件</w:t>
      </w:r>
      <w:r>
        <w:rPr>
          <w:szCs w:val="21"/>
        </w:rPr>
        <w:t>》（2018年版）第二册的内容，“项目专用技术规范”由</w:t>
      </w:r>
      <w:r>
        <w:rPr>
          <w:rFonts w:hint="eastAsia"/>
          <w:szCs w:val="21"/>
          <w:lang w:eastAsia="zh-CN"/>
        </w:rPr>
        <w:t>发包人</w:t>
      </w:r>
      <w:r>
        <w:rPr>
          <w:szCs w:val="21"/>
        </w:rPr>
        <w:t>根据《</w:t>
      </w:r>
      <w:r>
        <w:rPr>
          <w:rFonts w:hint="eastAsia"/>
          <w:szCs w:val="21"/>
          <w:lang w:eastAsia="zh-CN"/>
        </w:rPr>
        <w:t>参考文本</w:t>
      </w:r>
      <w:r>
        <w:rPr>
          <w:szCs w:val="21"/>
        </w:rPr>
        <w:t>》、</w:t>
      </w:r>
      <w:r>
        <w:rPr>
          <w:rFonts w:hint="eastAsia"/>
          <w:szCs w:val="21"/>
          <w:lang w:eastAsia="zh-CN"/>
        </w:rPr>
        <w:t>发包</w:t>
      </w:r>
      <w:r>
        <w:rPr>
          <w:szCs w:val="21"/>
        </w:rPr>
        <w:t>项目具体特点和实际需要编制。“项目专用技术规范”条款项目的编号应与相应的“通用技术规范”编号相一致。“通用技术规范”没规定的专用工程技术要求可依次补充相关章节。“技术规范”中的各项技术标准应符合国家强制性标准，不得要求或标明某一特定的专利、商标、名称、设计、原产地或生产供应者，不得含有倾向或</w:t>
      </w:r>
      <w:r>
        <w:rPr>
          <w:rFonts w:hint="eastAsia"/>
          <w:szCs w:val="21"/>
        </w:rPr>
        <w:t>者</w:t>
      </w:r>
      <w:r>
        <w:rPr>
          <w:szCs w:val="21"/>
        </w:rPr>
        <w:t>排斥潜在</w:t>
      </w:r>
      <w:r>
        <w:rPr>
          <w:rFonts w:hint="eastAsia"/>
          <w:szCs w:val="21"/>
          <w:lang w:eastAsia="zh-CN"/>
        </w:rPr>
        <w:t>竞包人</w:t>
      </w:r>
      <w:r>
        <w:rPr>
          <w:szCs w:val="21"/>
        </w:rPr>
        <w:t>的其他内容。如果必须引用某一生产供应者的技术标准才能准确或清楚地说明拟</w:t>
      </w:r>
      <w:r>
        <w:rPr>
          <w:rFonts w:hint="eastAsia"/>
          <w:szCs w:val="21"/>
          <w:lang w:eastAsia="zh-CN"/>
        </w:rPr>
        <w:t>发包</w:t>
      </w:r>
      <w:r>
        <w:rPr>
          <w:szCs w:val="21"/>
        </w:rPr>
        <w:t>项目的技术标准时，则应在参照后面加上“或相当于”字样。</w:t>
      </w:r>
    </w:p>
    <w:p w14:paraId="06E528DD">
      <w:pPr>
        <w:adjustRightInd w:val="0"/>
        <w:snapToGrid w:val="0"/>
        <w:spacing w:line="360" w:lineRule="auto"/>
        <w:ind w:firstLine="420" w:firstLineChars="200"/>
        <w:rPr>
          <w:rFonts w:eastAsia="黑体"/>
          <w:szCs w:val="21"/>
        </w:rPr>
      </w:pPr>
      <w:r>
        <w:rPr>
          <w:rFonts w:eastAsia="黑体"/>
          <w:szCs w:val="21"/>
        </w:rPr>
        <w:t>九、工程量清单计量规则</w:t>
      </w:r>
    </w:p>
    <w:p w14:paraId="68C183A5">
      <w:pPr>
        <w:spacing w:line="360" w:lineRule="auto"/>
        <w:ind w:firstLine="420" w:firstLineChars="200"/>
        <w:rPr>
          <w:szCs w:val="21"/>
        </w:rPr>
      </w:pPr>
      <w:r>
        <w:rPr>
          <w:szCs w:val="21"/>
        </w:rPr>
        <w:t>由</w:t>
      </w:r>
      <w:r>
        <w:rPr>
          <w:rFonts w:hint="eastAsia"/>
          <w:szCs w:val="21"/>
          <w:lang w:eastAsia="zh-CN"/>
        </w:rPr>
        <w:t>发包人</w:t>
      </w:r>
      <w:r>
        <w:rPr>
          <w:szCs w:val="21"/>
        </w:rPr>
        <w:t>根据《</w:t>
      </w:r>
      <w:r>
        <w:rPr>
          <w:rFonts w:hint="eastAsia"/>
          <w:szCs w:val="21"/>
          <w:lang w:eastAsia="zh-CN"/>
        </w:rPr>
        <w:t>参考文本</w:t>
      </w:r>
      <w:r>
        <w:rPr>
          <w:szCs w:val="21"/>
        </w:rPr>
        <w:t>》、</w:t>
      </w:r>
      <w:r>
        <w:rPr>
          <w:rFonts w:hint="eastAsia"/>
          <w:szCs w:val="21"/>
          <w:lang w:eastAsia="zh-CN"/>
        </w:rPr>
        <w:t>发包</w:t>
      </w:r>
      <w:r>
        <w:rPr>
          <w:szCs w:val="21"/>
        </w:rPr>
        <w:t>项目具体特点和实际，按照浙江省市场监督管理局发布《交通建设工程工程量清单计价规范（第1部分 公路工程）》（DB33/T 628.1-2021）编制。</w:t>
      </w:r>
    </w:p>
    <w:p w14:paraId="1769D7B4">
      <w:pPr>
        <w:adjustRightInd w:val="0"/>
        <w:snapToGrid w:val="0"/>
        <w:spacing w:line="360" w:lineRule="auto"/>
        <w:ind w:firstLine="420" w:firstLineChars="200"/>
        <w:rPr>
          <w:rFonts w:eastAsia="黑体"/>
          <w:szCs w:val="21"/>
        </w:rPr>
      </w:pPr>
      <w:r>
        <w:rPr>
          <w:rFonts w:eastAsia="黑体"/>
          <w:szCs w:val="21"/>
        </w:rPr>
        <w:t>十、</w:t>
      </w:r>
      <w:r>
        <w:rPr>
          <w:rFonts w:hint="eastAsia" w:eastAsia="黑体"/>
          <w:szCs w:val="21"/>
        </w:rPr>
        <w:t>竞包文件格式</w:t>
      </w:r>
    </w:p>
    <w:p w14:paraId="5E623DAF">
      <w:pPr>
        <w:spacing w:line="360" w:lineRule="auto"/>
        <w:ind w:firstLine="420" w:firstLineChars="200"/>
        <w:rPr>
          <w:szCs w:val="21"/>
        </w:rPr>
      </w:pPr>
      <w:r>
        <w:rPr>
          <w:szCs w:val="21"/>
        </w:rPr>
        <w:t>由</w:t>
      </w:r>
      <w:r>
        <w:rPr>
          <w:rFonts w:hint="eastAsia"/>
          <w:szCs w:val="21"/>
          <w:lang w:eastAsia="zh-CN"/>
        </w:rPr>
        <w:t>发包人</w:t>
      </w:r>
      <w:r>
        <w:rPr>
          <w:szCs w:val="21"/>
        </w:rPr>
        <w:t>根据《</w:t>
      </w:r>
      <w:r>
        <w:rPr>
          <w:rFonts w:hint="eastAsia"/>
          <w:szCs w:val="21"/>
          <w:lang w:eastAsia="zh-CN"/>
        </w:rPr>
        <w:t>参考文本</w:t>
      </w:r>
      <w:r>
        <w:rPr>
          <w:szCs w:val="21"/>
        </w:rPr>
        <w:t>》、</w:t>
      </w:r>
      <w:r>
        <w:rPr>
          <w:rFonts w:hint="eastAsia"/>
          <w:szCs w:val="21"/>
          <w:lang w:eastAsia="zh-CN"/>
        </w:rPr>
        <w:t>发包</w:t>
      </w:r>
      <w:r>
        <w:rPr>
          <w:szCs w:val="21"/>
        </w:rPr>
        <w:t>项目具体特点和实际需要编制。</w:t>
      </w:r>
    </w:p>
    <w:p w14:paraId="28F410B1">
      <w:pPr>
        <w:adjustRightInd w:val="0"/>
        <w:snapToGrid w:val="0"/>
        <w:spacing w:line="360" w:lineRule="auto"/>
        <w:ind w:firstLine="420" w:firstLineChars="200"/>
        <w:rPr>
          <w:rFonts w:eastAsia="黑体"/>
          <w:szCs w:val="21"/>
        </w:rPr>
      </w:pPr>
      <w:r>
        <w:rPr>
          <w:rFonts w:eastAsia="黑体"/>
          <w:szCs w:val="21"/>
        </w:rPr>
        <w:t>十一、电子盖章说明</w:t>
      </w:r>
    </w:p>
    <w:p w14:paraId="113AEC47">
      <w:pPr>
        <w:spacing w:line="360" w:lineRule="auto"/>
        <w:ind w:firstLine="420" w:firstLineChars="200"/>
        <w:rPr>
          <w:szCs w:val="21"/>
        </w:rPr>
      </w:pPr>
      <w:r>
        <w:rPr>
          <w:rFonts w:hint="eastAsia"/>
          <w:szCs w:val="21"/>
        </w:rPr>
        <w:t>竞包格式文件中要求法定代表人签字或盖章的，电子竞包文件应使用CA数字证书加盖法定代表人个人电子印章；竞包格式文件中要求竞包人单位盖章的，电子竞包文件应使用CA数字证书加盖竞包人单位电子印章。</w:t>
      </w:r>
    </w:p>
    <w:p w14:paraId="176EC55E">
      <w:pPr>
        <w:spacing w:line="360" w:lineRule="auto"/>
        <w:rPr>
          <w:szCs w:val="21"/>
        </w:rPr>
      </w:pPr>
    </w:p>
    <w:p w14:paraId="776FF794">
      <w:pPr>
        <w:rPr>
          <w:rFonts w:eastAsia="黑体"/>
          <w:sz w:val="20"/>
          <w:szCs w:val="20"/>
        </w:rPr>
      </w:pPr>
      <w:r>
        <w:rPr>
          <w:rFonts w:eastAsia="黑体"/>
          <w:sz w:val="20"/>
          <w:szCs w:val="20"/>
        </w:rPr>
        <w:br w:type="page"/>
      </w:r>
    </w:p>
    <w:p w14:paraId="69A1F529">
      <w:pPr>
        <w:spacing w:line="360" w:lineRule="auto"/>
        <w:rPr>
          <w:rFonts w:hint="eastAsia" w:ascii="宋体" w:hAnsi="宋体" w:eastAsia="宋体" w:cs="宋体"/>
          <w:sz w:val="20"/>
          <w:szCs w:val="20"/>
        </w:rPr>
      </w:pPr>
    </w:p>
    <w:p w14:paraId="7FF0F1E8">
      <w:pPr>
        <w:spacing w:line="360" w:lineRule="auto"/>
        <w:jc w:val="center"/>
        <w:rPr>
          <w:rFonts w:hint="eastAsia" w:ascii="宋体" w:hAnsi="宋体" w:eastAsia="宋体" w:cs="宋体"/>
          <w:sz w:val="36"/>
          <w:szCs w:val="36"/>
        </w:rPr>
      </w:pPr>
    </w:p>
    <w:p w14:paraId="2F823F12">
      <w:pPr>
        <w:spacing w:line="360" w:lineRule="auto"/>
        <w:rPr>
          <w:rFonts w:hint="eastAsia" w:ascii="宋体" w:hAnsi="宋体" w:eastAsia="宋体" w:cs="宋体"/>
          <w:sz w:val="36"/>
          <w:szCs w:val="36"/>
        </w:rPr>
      </w:pPr>
    </w:p>
    <w:p w14:paraId="29E75B07">
      <w:pPr>
        <w:spacing w:line="360" w:lineRule="auto"/>
        <w:jc w:val="center"/>
        <w:rPr>
          <w:rFonts w:hint="eastAsia" w:ascii="宋体" w:hAnsi="宋体" w:eastAsia="宋体" w:cs="宋体"/>
          <w:sz w:val="36"/>
          <w:szCs w:val="36"/>
          <w:lang w:eastAsia="zh-CN"/>
        </w:rPr>
      </w:pPr>
      <w:r>
        <w:rPr>
          <w:rFonts w:hint="eastAsia" w:ascii="宋体" w:hAnsi="宋体" w:eastAsia="宋体" w:cs="宋体"/>
          <w:sz w:val="36"/>
          <w:szCs w:val="36"/>
          <w:u w:val="single"/>
        </w:rPr>
        <w:t xml:space="preserve">            </w:t>
      </w:r>
      <w:r>
        <w:rPr>
          <w:rFonts w:hint="eastAsia" w:ascii="宋体" w:hAnsi="宋体" w:eastAsia="宋体" w:cs="宋体"/>
          <w:sz w:val="36"/>
          <w:szCs w:val="36"/>
        </w:rPr>
        <w:t>（项目名称）施工</w:t>
      </w:r>
      <w:r>
        <w:rPr>
          <w:rFonts w:hint="eastAsia" w:ascii="宋体" w:hAnsi="宋体" w:cs="宋体"/>
          <w:sz w:val="36"/>
          <w:szCs w:val="36"/>
          <w:lang w:val="en-US" w:eastAsia="zh-CN"/>
        </w:rPr>
        <w:t>项目</w:t>
      </w:r>
    </w:p>
    <w:p w14:paraId="78A0901F">
      <w:pPr>
        <w:spacing w:line="360" w:lineRule="auto"/>
        <w:rPr>
          <w:rFonts w:hint="eastAsia" w:ascii="宋体" w:hAnsi="宋体" w:eastAsia="宋体" w:cs="宋体"/>
          <w:sz w:val="20"/>
          <w:szCs w:val="20"/>
        </w:rPr>
      </w:pPr>
    </w:p>
    <w:p w14:paraId="5DAA2BA1">
      <w:pPr>
        <w:spacing w:line="360" w:lineRule="auto"/>
        <w:rPr>
          <w:rFonts w:hint="eastAsia" w:ascii="宋体" w:hAnsi="宋体" w:eastAsia="宋体" w:cs="宋体"/>
          <w:sz w:val="20"/>
          <w:szCs w:val="20"/>
        </w:rPr>
      </w:pPr>
    </w:p>
    <w:p w14:paraId="506FE158">
      <w:pPr>
        <w:spacing w:line="360" w:lineRule="auto"/>
        <w:rPr>
          <w:rFonts w:hint="eastAsia" w:ascii="宋体" w:hAnsi="宋体" w:eastAsia="宋体" w:cs="宋体"/>
          <w:sz w:val="20"/>
          <w:szCs w:val="20"/>
        </w:rPr>
      </w:pPr>
    </w:p>
    <w:p w14:paraId="71ABAEB6">
      <w:pPr>
        <w:spacing w:line="360" w:lineRule="auto"/>
        <w:rPr>
          <w:rFonts w:hint="eastAsia" w:ascii="宋体" w:hAnsi="宋体" w:eastAsia="宋体" w:cs="宋体"/>
          <w:b/>
          <w:sz w:val="28"/>
        </w:rPr>
      </w:pPr>
    </w:p>
    <w:p w14:paraId="02DC080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72"/>
        </w:rPr>
      </w:pPr>
      <w:r>
        <w:rPr>
          <w:rFonts w:hint="eastAsia" w:ascii="宋体" w:hAnsi="宋体" w:cs="宋体"/>
          <w:b/>
          <w:sz w:val="72"/>
          <w:lang w:val="en-US" w:eastAsia="zh-CN"/>
        </w:rPr>
        <w:t>发</w:t>
      </w:r>
      <w:r>
        <w:rPr>
          <w:rFonts w:hint="eastAsia" w:ascii="宋体" w:hAnsi="宋体" w:eastAsia="宋体" w:cs="宋体"/>
          <w:b/>
          <w:sz w:val="72"/>
        </w:rPr>
        <w:t xml:space="preserve"> </w:t>
      </w:r>
      <w:r>
        <w:rPr>
          <w:rFonts w:hint="eastAsia" w:ascii="宋体" w:hAnsi="宋体" w:cs="宋体"/>
          <w:b/>
          <w:sz w:val="72"/>
          <w:lang w:val="en-US" w:eastAsia="zh-CN"/>
        </w:rPr>
        <w:t>包</w:t>
      </w:r>
      <w:r>
        <w:rPr>
          <w:rFonts w:hint="eastAsia" w:ascii="宋体" w:hAnsi="宋体" w:eastAsia="宋体" w:cs="宋体"/>
          <w:b/>
          <w:sz w:val="72"/>
        </w:rPr>
        <w:t xml:space="preserve"> 文 件</w:t>
      </w:r>
    </w:p>
    <w:p w14:paraId="5D8594F8">
      <w:pPr>
        <w:spacing w:line="360" w:lineRule="auto"/>
        <w:rPr>
          <w:rFonts w:hint="eastAsia" w:ascii="宋体" w:hAnsi="宋体" w:eastAsia="宋体" w:cs="宋体"/>
        </w:rPr>
      </w:pPr>
    </w:p>
    <w:p w14:paraId="17644B4B">
      <w:pPr>
        <w:spacing w:line="360" w:lineRule="auto"/>
        <w:rPr>
          <w:rFonts w:hint="eastAsia" w:ascii="宋体" w:hAnsi="宋体" w:eastAsia="宋体" w:cs="宋体"/>
        </w:rPr>
      </w:pPr>
    </w:p>
    <w:p w14:paraId="4C06B9A6">
      <w:pPr>
        <w:spacing w:line="360" w:lineRule="auto"/>
        <w:rPr>
          <w:rFonts w:hint="eastAsia" w:ascii="宋体" w:hAnsi="宋体" w:eastAsia="宋体" w:cs="宋体"/>
        </w:rPr>
      </w:pPr>
    </w:p>
    <w:p w14:paraId="395EE13E">
      <w:pPr>
        <w:spacing w:line="360" w:lineRule="auto"/>
        <w:rPr>
          <w:rFonts w:hint="eastAsia" w:ascii="宋体" w:hAnsi="宋体" w:eastAsia="宋体" w:cs="宋体"/>
        </w:rPr>
      </w:pPr>
    </w:p>
    <w:p w14:paraId="2359EEE9">
      <w:pPr>
        <w:spacing w:line="360" w:lineRule="auto"/>
        <w:rPr>
          <w:rFonts w:hint="eastAsia" w:ascii="宋体" w:hAnsi="宋体" w:eastAsia="宋体" w:cs="宋体"/>
        </w:rPr>
      </w:pPr>
    </w:p>
    <w:p w14:paraId="19CA5208">
      <w:pPr>
        <w:spacing w:line="360" w:lineRule="auto"/>
        <w:rPr>
          <w:rFonts w:hint="eastAsia" w:ascii="宋体" w:hAnsi="宋体" w:eastAsia="宋体" w:cs="宋体"/>
        </w:rPr>
      </w:pPr>
    </w:p>
    <w:p w14:paraId="3935CD98">
      <w:pPr>
        <w:spacing w:line="360" w:lineRule="auto"/>
        <w:rPr>
          <w:rFonts w:hint="eastAsia" w:ascii="宋体" w:hAnsi="宋体" w:eastAsia="宋体" w:cs="宋体"/>
        </w:rPr>
      </w:pPr>
    </w:p>
    <w:p w14:paraId="725CDC7F">
      <w:pPr>
        <w:spacing w:line="360" w:lineRule="auto"/>
        <w:rPr>
          <w:rFonts w:hint="eastAsia" w:ascii="宋体" w:hAnsi="宋体" w:eastAsia="宋体" w:cs="宋体"/>
        </w:rPr>
      </w:pPr>
    </w:p>
    <w:p w14:paraId="69A018B5">
      <w:pPr>
        <w:spacing w:line="360" w:lineRule="auto"/>
        <w:rPr>
          <w:rFonts w:hint="eastAsia" w:ascii="宋体" w:hAnsi="宋体" w:eastAsia="宋体" w:cs="宋体"/>
        </w:rPr>
      </w:pPr>
    </w:p>
    <w:p w14:paraId="49D68DD2">
      <w:pPr>
        <w:spacing w:line="360" w:lineRule="auto"/>
        <w:ind w:left="974" w:leftChars="464"/>
        <w:rPr>
          <w:rFonts w:hint="eastAsia" w:ascii="宋体" w:hAnsi="宋体" w:eastAsia="宋体" w:cs="宋体"/>
          <w:sz w:val="32"/>
          <w:szCs w:val="32"/>
        </w:rPr>
      </w:pPr>
      <w:r>
        <w:rPr>
          <w:rFonts w:hint="eastAsia" w:ascii="宋体" w:hAnsi="宋体" w:eastAsia="宋体" w:cs="宋体"/>
          <w:sz w:val="32"/>
          <w:szCs w:val="32"/>
        </w:rPr>
        <w:t>发 包 人：</w:t>
      </w:r>
      <w:r>
        <w:rPr>
          <w:rFonts w:hint="eastAsia" w:ascii="宋体" w:hAnsi="宋体" w:eastAsia="宋体" w:cs="宋体"/>
          <w:spacing w:val="-6"/>
          <w:sz w:val="32"/>
          <w:szCs w:val="32"/>
        </w:rPr>
        <w:t>___________________</w:t>
      </w:r>
      <w:r>
        <w:rPr>
          <w:rFonts w:hint="eastAsia"/>
          <w:sz w:val="32"/>
          <w:szCs w:val="32"/>
        </w:rPr>
        <w:t>（单位盖章）</w:t>
      </w:r>
    </w:p>
    <w:p w14:paraId="5B2895D9">
      <w:pPr>
        <w:spacing w:line="360" w:lineRule="auto"/>
        <w:ind w:left="974" w:leftChars="464"/>
        <w:rPr>
          <w:rFonts w:hint="eastAsia" w:ascii="宋体" w:hAnsi="宋体" w:eastAsia="宋体" w:cs="宋体"/>
          <w:spacing w:val="-24"/>
          <w:sz w:val="32"/>
          <w:szCs w:val="32"/>
        </w:rPr>
      </w:pPr>
      <w:r>
        <w:rPr>
          <w:rFonts w:hint="eastAsia" w:ascii="宋体" w:hAnsi="宋体" w:cs="宋体"/>
          <w:sz w:val="32"/>
          <w:szCs w:val="32"/>
          <w:lang w:eastAsia="zh-CN"/>
        </w:rPr>
        <w:t>中介代理机构</w:t>
      </w:r>
      <w:r>
        <w:rPr>
          <w:rFonts w:hint="eastAsia" w:ascii="宋体" w:hAnsi="宋体" w:eastAsia="宋体" w:cs="宋体"/>
          <w:sz w:val="32"/>
          <w:szCs w:val="32"/>
        </w:rPr>
        <w:t>：</w:t>
      </w:r>
      <w:r>
        <w:rPr>
          <w:rFonts w:hint="eastAsia" w:ascii="宋体" w:hAnsi="宋体" w:eastAsia="宋体" w:cs="宋体"/>
          <w:spacing w:val="-24"/>
          <w:sz w:val="32"/>
          <w:szCs w:val="32"/>
        </w:rPr>
        <w:t>_____________________</w:t>
      </w:r>
      <w:r>
        <w:rPr>
          <w:rFonts w:hint="eastAsia"/>
          <w:sz w:val="32"/>
          <w:szCs w:val="32"/>
        </w:rPr>
        <w:t>（单位盖章）</w:t>
      </w:r>
    </w:p>
    <w:p w14:paraId="7546A3C3">
      <w:pPr>
        <w:spacing w:line="360" w:lineRule="auto"/>
        <w:ind w:left="974" w:leftChars="464"/>
        <w:rPr>
          <w:rFonts w:hint="eastAsia" w:ascii="宋体" w:hAnsi="宋体" w:eastAsia="宋体" w:cs="宋体"/>
          <w:spacing w:val="-24"/>
          <w:sz w:val="32"/>
          <w:szCs w:val="32"/>
        </w:rPr>
      </w:pPr>
      <w:r>
        <w:rPr>
          <w:rFonts w:hint="eastAsia" w:ascii="宋体" w:hAnsi="宋体" w:eastAsia="宋体" w:cs="宋体"/>
          <w:sz w:val="32"/>
          <w:szCs w:val="32"/>
          <w:lang w:val="en-US" w:eastAsia="zh-CN"/>
        </w:rPr>
        <w:t>备案机构</w:t>
      </w:r>
      <w:r>
        <w:rPr>
          <w:rFonts w:hint="eastAsia" w:ascii="宋体" w:hAnsi="宋体" w:eastAsia="宋体" w:cs="宋体"/>
          <w:sz w:val="32"/>
          <w:szCs w:val="32"/>
        </w:rPr>
        <w:t>：</w:t>
      </w:r>
      <w:r>
        <w:rPr>
          <w:rFonts w:hint="eastAsia" w:ascii="宋体" w:hAnsi="宋体" w:eastAsia="宋体" w:cs="宋体"/>
          <w:spacing w:val="-24"/>
          <w:sz w:val="32"/>
          <w:szCs w:val="32"/>
        </w:rPr>
        <w:t>_____________________</w:t>
      </w:r>
      <w:r>
        <w:rPr>
          <w:rFonts w:hint="eastAsia"/>
          <w:sz w:val="32"/>
          <w:szCs w:val="32"/>
        </w:rPr>
        <w:t>（单位盖章）</w:t>
      </w:r>
    </w:p>
    <w:p w14:paraId="41D5BA0D">
      <w:pPr>
        <w:spacing w:line="360" w:lineRule="auto"/>
        <w:ind w:left="974" w:leftChars="464"/>
        <w:rPr>
          <w:rFonts w:eastAsia="黑体"/>
          <w:sz w:val="32"/>
          <w:szCs w:val="32"/>
        </w:rPr>
      </w:pPr>
      <w:r>
        <w:rPr>
          <w:rFonts w:hint="eastAsia" w:ascii="宋体" w:hAnsi="宋体" w:eastAsia="宋体" w:cs="宋体"/>
          <w:sz w:val="32"/>
          <w:szCs w:val="32"/>
        </w:rPr>
        <w:t>日　　期：</w:t>
      </w:r>
      <w:bookmarkStart w:id="4" w:name="EBe8a69b1d3c164fd58fa459438bde18a2"/>
      <w:r>
        <w:rPr>
          <w:rFonts w:hint="eastAsia" w:ascii="宋体" w:hAnsi="宋体" w:eastAsia="宋体" w:cs="宋体"/>
          <w:sz w:val="32"/>
          <w:szCs w:val="32"/>
        </w:rPr>
        <w:t>_________年____月____日</w:t>
      </w:r>
      <w:bookmarkEnd w:id="4"/>
    </w:p>
    <w:p w14:paraId="54ED6AEF">
      <w:pPr>
        <w:spacing w:line="240" w:lineRule="auto"/>
        <w:jc w:val="left"/>
        <w:rPr>
          <w:rFonts w:eastAsia="黑体"/>
          <w:sz w:val="36"/>
          <w:szCs w:val="36"/>
        </w:rPr>
      </w:pPr>
      <w:r>
        <w:rPr>
          <w:rFonts w:eastAsia="黑体"/>
          <w:sz w:val="36"/>
          <w:szCs w:val="36"/>
        </w:rPr>
        <w:br w:type="page"/>
      </w:r>
    </w:p>
    <w:p w14:paraId="7DB5CBAD">
      <w:pPr>
        <w:pStyle w:val="198"/>
        <w:wordWrap w:val="0"/>
        <w:topLinePunct/>
        <w:autoSpaceDN w:val="0"/>
        <w:jc w:val="center"/>
        <w:rPr>
          <w:rFonts w:hint="eastAsia" w:ascii="宋体" w:hAnsi="宋体" w:eastAsia="宋体" w:cs="宋体"/>
          <w:color w:val="auto"/>
          <w:sz w:val="44"/>
          <w:szCs w:val="44"/>
        </w:rPr>
      </w:pPr>
      <w:r>
        <w:rPr>
          <w:rFonts w:hint="eastAsia" w:ascii="宋体" w:hAnsi="宋体" w:eastAsia="宋体" w:cs="宋体"/>
          <w:color w:val="auto"/>
          <w:sz w:val="44"/>
          <w:szCs w:val="44"/>
          <w:lang w:val="zh-CN"/>
        </w:rPr>
        <w:t>目  录</w:t>
      </w:r>
    </w:p>
    <w:p w14:paraId="63932A1F">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14:paraId="47EFDC98">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"1-1" \h \u </w:instrText>
      </w:r>
      <w:r>
        <w:rPr>
          <w:rFonts w:hint="eastAsia" w:ascii="宋体" w:hAnsi="宋体" w:eastAsia="宋体" w:cs="宋体"/>
          <w:b/>
          <w:bCs/>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_Toc9812 </w:instrText>
      </w:r>
      <w:r>
        <w:rPr>
          <w:rFonts w:hint="eastAsia" w:ascii="宋体" w:hAnsi="宋体" w:eastAsia="宋体" w:cs="宋体"/>
          <w:b/>
          <w:bCs/>
          <w:szCs w:val="24"/>
        </w:rPr>
        <w:fldChar w:fldCharType="separate"/>
      </w:r>
      <w:r>
        <w:rPr>
          <w:rFonts w:hint="eastAsia" w:ascii="宋体" w:hAnsi="宋体" w:eastAsia="宋体" w:cs="宋体"/>
          <w:b/>
          <w:bCs/>
          <w:szCs w:val="32"/>
        </w:rPr>
        <w:t xml:space="preserve">□第一章 </w:t>
      </w:r>
      <w:r>
        <w:rPr>
          <w:rFonts w:hint="eastAsia" w:ascii="宋体" w:hAnsi="宋体" w:eastAsia="宋体" w:cs="宋体"/>
          <w:b/>
          <w:bCs/>
          <w:szCs w:val="32"/>
          <w:lang w:eastAsia="zh-CN"/>
        </w:rPr>
        <w:t>发包公告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_Toc9812 \h </w:instrText>
      </w:r>
      <w:r>
        <w:rPr>
          <w:rFonts w:hint="eastAsia" w:ascii="宋体" w:hAnsi="宋体" w:eastAsia="宋体" w:cs="宋体"/>
          <w:b/>
          <w:bCs/>
        </w:rPr>
        <w:fldChar w:fldCharType="separate"/>
      </w:r>
      <w:r>
        <w:rPr>
          <w:rFonts w:hint="eastAsia" w:ascii="宋体" w:hAnsi="宋体" w:eastAsia="宋体" w:cs="宋体"/>
          <w:b/>
          <w:bCs/>
        </w:rPr>
        <w:t>11</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34952C60">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_Toc2119 </w:instrText>
      </w:r>
      <w:r>
        <w:rPr>
          <w:rFonts w:hint="eastAsia" w:ascii="宋体" w:hAnsi="宋体" w:eastAsia="宋体" w:cs="宋体"/>
          <w:b/>
          <w:bCs/>
          <w:szCs w:val="24"/>
        </w:rPr>
        <w:fldChar w:fldCharType="separate"/>
      </w:r>
      <w:r>
        <w:rPr>
          <w:rFonts w:hint="eastAsia" w:ascii="宋体" w:hAnsi="宋体" w:eastAsia="宋体" w:cs="宋体"/>
          <w:b/>
          <w:bCs/>
          <w:szCs w:val="32"/>
        </w:rPr>
        <w:t xml:space="preserve">□第一章 </w:t>
      </w:r>
      <w:r>
        <w:rPr>
          <w:rFonts w:hint="eastAsia" w:ascii="宋体" w:hAnsi="宋体" w:eastAsia="宋体" w:cs="宋体"/>
          <w:b/>
          <w:bCs/>
          <w:szCs w:val="32"/>
          <w:lang w:val="en-US" w:eastAsia="zh-CN"/>
        </w:rPr>
        <w:t>竞包邀请书</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_Toc2119 \h </w:instrText>
      </w:r>
      <w:r>
        <w:rPr>
          <w:rFonts w:hint="eastAsia" w:ascii="宋体" w:hAnsi="宋体" w:eastAsia="宋体" w:cs="宋体"/>
          <w:b/>
          <w:bCs/>
        </w:rPr>
        <w:fldChar w:fldCharType="separate"/>
      </w:r>
      <w:r>
        <w:rPr>
          <w:rFonts w:hint="eastAsia" w:ascii="宋体" w:hAnsi="宋体" w:eastAsia="宋体" w:cs="宋体"/>
          <w:b/>
          <w:bCs/>
        </w:rPr>
        <w:t>13</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7A28ABA3">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_Toc5838 </w:instrText>
      </w:r>
      <w:r>
        <w:rPr>
          <w:rFonts w:hint="eastAsia" w:ascii="宋体" w:hAnsi="宋体" w:eastAsia="宋体" w:cs="宋体"/>
          <w:b/>
          <w:bCs/>
          <w:szCs w:val="24"/>
        </w:rPr>
        <w:fldChar w:fldCharType="separate"/>
      </w:r>
      <w:r>
        <w:rPr>
          <w:rFonts w:hint="eastAsia" w:ascii="宋体" w:hAnsi="宋体" w:eastAsia="宋体" w:cs="宋体"/>
          <w:b/>
          <w:bCs/>
          <w:szCs w:val="32"/>
        </w:rPr>
        <w:t xml:space="preserve">第二章 </w:t>
      </w:r>
      <w:r>
        <w:rPr>
          <w:rFonts w:hint="eastAsia" w:ascii="宋体" w:hAnsi="宋体" w:eastAsia="宋体" w:cs="宋体"/>
          <w:b/>
          <w:bCs/>
          <w:szCs w:val="32"/>
          <w:lang w:val="en-US" w:eastAsia="zh-CN"/>
        </w:rPr>
        <w:t>竞包</w:t>
      </w:r>
      <w:r>
        <w:rPr>
          <w:rFonts w:hint="eastAsia" w:ascii="宋体" w:hAnsi="宋体" w:eastAsia="宋体" w:cs="宋体"/>
          <w:b/>
          <w:bCs/>
          <w:szCs w:val="32"/>
        </w:rPr>
        <w:t>人须知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_Toc5838 \h </w:instrText>
      </w:r>
      <w:r>
        <w:rPr>
          <w:rFonts w:hint="eastAsia" w:ascii="宋体" w:hAnsi="宋体" w:eastAsia="宋体" w:cs="宋体"/>
          <w:b/>
          <w:bCs/>
        </w:rPr>
        <w:fldChar w:fldCharType="separate"/>
      </w:r>
      <w:r>
        <w:rPr>
          <w:rFonts w:hint="eastAsia" w:ascii="宋体" w:hAnsi="宋体" w:eastAsia="宋体" w:cs="宋体"/>
          <w:b/>
          <w:bCs/>
        </w:rPr>
        <w:t>16</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5044F828">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_Toc11974 </w:instrText>
      </w:r>
      <w:r>
        <w:rPr>
          <w:rFonts w:hint="eastAsia" w:ascii="宋体" w:hAnsi="宋体" w:eastAsia="宋体" w:cs="宋体"/>
          <w:b/>
          <w:bCs/>
          <w:szCs w:val="24"/>
        </w:rPr>
        <w:fldChar w:fldCharType="separate"/>
      </w:r>
      <w:r>
        <w:rPr>
          <w:rFonts w:hint="eastAsia" w:ascii="宋体" w:hAnsi="宋体" w:eastAsia="宋体" w:cs="宋体"/>
          <w:b/>
          <w:bCs/>
          <w:szCs w:val="32"/>
          <w:vertAlign w:val="baseline"/>
          <w:lang w:val="en-US" w:eastAsia="zh-CN"/>
        </w:rPr>
        <w:t xml:space="preserve">第三章 </w:t>
      </w:r>
      <w:r>
        <w:rPr>
          <w:rFonts w:hint="eastAsia" w:ascii="宋体" w:hAnsi="宋体" w:eastAsia="宋体" w:cs="宋体"/>
          <w:b/>
          <w:bCs/>
          <w:szCs w:val="32"/>
          <w:highlight w:val="none"/>
          <w:vertAlign w:val="baseline"/>
          <w:lang w:val="en-US" w:eastAsia="zh-CN"/>
        </w:rPr>
        <w:t>评审办法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_Toc11974 \h </w:instrText>
      </w:r>
      <w:r>
        <w:rPr>
          <w:rFonts w:hint="eastAsia" w:ascii="宋体" w:hAnsi="宋体" w:eastAsia="宋体" w:cs="宋体"/>
          <w:b/>
          <w:bCs/>
        </w:rPr>
        <w:fldChar w:fldCharType="separate"/>
      </w:r>
      <w:r>
        <w:rPr>
          <w:rFonts w:hint="eastAsia" w:ascii="宋体" w:hAnsi="宋体" w:eastAsia="宋体" w:cs="宋体"/>
          <w:b/>
          <w:bCs/>
        </w:rPr>
        <w:t>40</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1599506D">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_Toc14883 </w:instrText>
      </w:r>
      <w:r>
        <w:rPr>
          <w:rFonts w:hint="eastAsia" w:ascii="宋体" w:hAnsi="宋体" w:eastAsia="宋体" w:cs="宋体"/>
          <w:b/>
          <w:bCs/>
          <w:szCs w:val="24"/>
        </w:rPr>
        <w:fldChar w:fldCharType="separate"/>
      </w:r>
      <w:r>
        <w:rPr>
          <w:rFonts w:hint="eastAsia" w:ascii="宋体" w:hAnsi="宋体" w:eastAsia="宋体" w:cs="宋体"/>
          <w:b/>
          <w:bCs/>
          <w:szCs w:val="48"/>
        </w:rPr>
        <w:t>第四章 合同条款及格式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_Toc14883 \h </w:instrText>
      </w:r>
      <w:r>
        <w:rPr>
          <w:rFonts w:hint="eastAsia" w:ascii="宋体" w:hAnsi="宋体" w:eastAsia="宋体" w:cs="宋体"/>
          <w:b/>
          <w:bCs/>
        </w:rPr>
        <w:fldChar w:fldCharType="separate"/>
      </w:r>
      <w:r>
        <w:rPr>
          <w:rFonts w:hint="eastAsia" w:ascii="宋体" w:hAnsi="宋体" w:eastAsia="宋体" w:cs="宋体"/>
          <w:b/>
          <w:bCs/>
        </w:rPr>
        <w:t>43</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33C860BA">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_Toc1136 </w:instrText>
      </w:r>
      <w:r>
        <w:rPr>
          <w:rFonts w:hint="eastAsia" w:ascii="宋体" w:hAnsi="宋体" w:eastAsia="宋体" w:cs="宋体"/>
          <w:b/>
          <w:bCs/>
          <w:szCs w:val="24"/>
        </w:rPr>
        <w:fldChar w:fldCharType="separate"/>
      </w:r>
      <w:r>
        <w:rPr>
          <w:rFonts w:hint="eastAsia" w:ascii="宋体" w:hAnsi="宋体" w:eastAsia="宋体" w:cs="宋体"/>
          <w:b/>
          <w:bCs/>
          <w:szCs w:val="48"/>
        </w:rPr>
        <w:t>第五</w:t>
      </w:r>
      <w:r>
        <w:rPr>
          <w:rFonts w:hint="eastAsia" w:ascii="宋体" w:hAnsi="宋体" w:eastAsia="宋体" w:cs="宋体"/>
          <w:b/>
          <w:bCs/>
          <w:szCs w:val="44"/>
        </w:rPr>
        <w:t xml:space="preserve">章  </w:t>
      </w:r>
      <w:r>
        <w:rPr>
          <w:rFonts w:hint="eastAsia" w:ascii="宋体" w:hAnsi="宋体" w:eastAsia="宋体" w:cs="宋体"/>
          <w:b/>
          <w:bCs/>
          <w:szCs w:val="44"/>
          <w:lang w:val="en-US" w:eastAsia="zh-CN"/>
        </w:rPr>
        <w:t>发包控制价</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_Toc1136 \h </w:instrText>
      </w:r>
      <w:r>
        <w:rPr>
          <w:rFonts w:hint="eastAsia" w:ascii="宋体" w:hAnsi="宋体" w:eastAsia="宋体" w:cs="宋体"/>
          <w:b/>
          <w:bCs/>
        </w:rPr>
        <w:fldChar w:fldCharType="separate"/>
      </w:r>
      <w:r>
        <w:rPr>
          <w:rFonts w:hint="eastAsia" w:ascii="宋体" w:hAnsi="宋体" w:eastAsia="宋体" w:cs="宋体"/>
          <w:b/>
          <w:bCs/>
        </w:rPr>
        <w:t>89</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775C75A9">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_Toc28107 </w:instrText>
      </w:r>
      <w:r>
        <w:rPr>
          <w:rFonts w:hint="eastAsia" w:ascii="宋体" w:hAnsi="宋体" w:eastAsia="宋体" w:cs="宋体"/>
          <w:b/>
          <w:bCs/>
          <w:szCs w:val="24"/>
        </w:rPr>
        <w:fldChar w:fldCharType="separate"/>
      </w:r>
      <w:r>
        <w:rPr>
          <w:rFonts w:hint="eastAsia" w:ascii="宋体" w:hAnsi="宋体" w:eastAsia="宋体" w:cs="宋体"/>
          <w:b/>
          <w:bCs/>
          <w:szCs w:val="48"/>
        </w:rPr>
        <w:t>第六章  图纸</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_Toc28107 \h </w:instrText>
      </w:r>
      <w:r>
        <w:rPr>
          <w:rFonts w:hint="eastAsia" w:ascii="宋体" w:hAnsi="宋体" w:eastAsia="宋体" w:cs="宋体"/>
          <w:b/>
          <w:bCs/>
        </w:rPr>
        <w:fldChar w:fldCharType="separate"/>
      </w:r>
      <w:r>
        <w:rPr>
          <w:rFonts w:hint="eastAsia" w:ascii="宋体" w:hAnsi="宋体" w:eastAsia="宋体" w:cs="宋体"/>
          <w:b/>
          <w:bCs/>
        </w:rPr>
        <w:t>91</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5932CEA5">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_Toc28835 </w:instrText>
      </w:r>
      <w:r>
        <w:rPr>
          <w:rFonts w:hint="eastAsia" w:ascii="宋体" w:hAnsi="宋体" w:eastAsia="宋体" w:cs="宋体"/>
          <w:b/>
          <w:bCs/>
          <w:szCs w:val="24"/>
        </w:rPr>
        <w:fldChar w:fldCharType="separate"/>
      </w:r>
      <w:r>
        <w:rPr>
          <w:rFonts w:hint="eastAsia" w:ascii="宋体" w:hAnsi="宋体" w:eastAsia="宋体" w:cs="宋体"/>
          <w:b/>
          <w:bCs/>
          <w:szCs w:val="48"/>
        </w:rPr>
        <w:t>第七章  技术规范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_Toc28835 \h </w:instrText>
      </w:r>
      <w:r>
        <w:rPr>
          <w:rFonts w:hint="eastAsia" w:ascii="宋体" w:hAnsi="宋体" w:eastAsia="宋体" w:cs="宋体"/>
          <w:b/>
          <w:bCs/>
        </w:rPr>
        <w:fldChar w:fldCharType="separate"/>
      </w:r>
      <w:r>
        <w:rPr>
          <w:rFonts w:hint="eastAsia" w:ascii="宋体" w:hAnsi="宋体" w:eastAsia="宋体" w:cs="宋体"/>
          <w:b/>
          <w:bCs/>
        </w:rPr>
        <w:t>93</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6A0179CF">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_Toc9296 </w:instrText>
      </w:r>
      <w:r>
        <w:rPr>
          <w:rFonts w:hint="eastAsia" w:ascii="宋体" w:hAnsi="宋体" w:eastAsia="宋体" w:cs="宋体"/>
          <w:b/>
          <w:bCs/>
          <w:szCs w:val="24"/>
        </w:rPr>
        <w:fldChar w:fldCharType="separate"/>
      </w:r>
      <w:r>
        <w:rPr>
          <w:rFonts w:hint="eastAsia" w:ascii="宋体" w:hAnsi="宋体" w:eastAsia="宋体" w:cs="宋体"/>
          <w:b/>
          <w:bCs/>
          <w:szCs w:val="48"/>
        </w:rPr>
        <w:t>第八章  工程量清单计量规则</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_Toc9296 \h </w:instrText>
      </w:r>
      <w:r>
        <w:rPr>
          <w:rFonts w:hint="eastAsia" w:ascii="宋体" w:hAnsi="宋体" w:eastAsia="宋体" w:cs="宋体"/>
          <w:b/>
          <w:bCs/>
        </w:rPr>
        <w:fldChar w:fldCharType="separate"/>
      </w:r>
      <w:r>
        <w:rPr>
          <w:rFonts w:hint="eastAsia" w:ascii="宋体" w:hAnsi="宋体" w:eastAsia="宋体" w:cs="宋体"/>
          <w:b/>
          <w:bCs/>
        </w:rPr>
        <w:t>141</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780346B4">
      <w:pPr>
        <w:pStyle w:val="31"/>
        <w:keepNext w:val="0"/>
        <w:keepLines w:val="0"/>
        <w:pageBreakBefore w:val="0"/>
        <w:widowControl w:val="0"/>
        <w:tabs>
          <w:tab w:val="right" w:leader="dot" w:pos="8838"/>
          <w:tab w:val="clear" w:pos="9174"/>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_Toc10718 </w:instrText>
      </w:r>
      <w:r>
        <w:rPr>
          <w:rFonts w:hint="eastAsia" w:ascii="宋体" w:hAnsi="宋体" w:eastAsia="宋体" w:cs="宋体"/>
          <w:b/>
          <w:bCs/>
          <w:szCs w:val="24"/>
        </w:rPr>
        <w:fldChar w:fldCharType="separate"/>
      </w:r>
      <w:r>
        <w:rPr>
          <w:rFonts w:hint="eastAsia" w:ascii="宋体" w:hAnsi="宋体" w:eastAsia="宋体" w:cs="宋体"/>
          <w:b/>
          <w:bCs/>
          <w:szCs w:val="48"/>
        </w:rPr>
        <w:t xml:space="preserve">第九章  </w:t>
      </w:r>
      <w:r>
        <w:rPr>
          <w:rFonts w:hint="eastAsia" w:ascii="宋体" w:hAnsi="宋体" w:eastAsia="宋体" w:cs="宋体"/>
          <w:b/>
          <w:bCs/>
          <w:szCs w:val="48"/>
          <w:lang w:val="en-US" w:eastAsia="zh-CN"/>
        </w:rPr>
        <w:t>竞包</w:t>
      </w:r>
      <w:r>
        <w:rPr>
          <w:rFonts w:hint="eastAsia" w:ascii="宋体" w:hAnsi="宋体" w:eastAsia="宋体" w:cs="宋体"/>
          <w:b/>
          <w:bCs/>
          <w:szCs w:val="48"/>
        </w:rPr>
        <w:t>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_Toc10718 \h </w:instrText>
      </w:r>
      <w:r>
        <w:rPr>
          <w:rFonts w:hint="eastAsia" w:ascii="宋体" w:hAnsi="宋体" w:eastAsia="宋体" w:cs="宋体"/>
          <w:b/>
          <w:bCs/>
        </w:rPr>
        <w:fldChar w:fldCharType="separate"/>
      </w:r>
      <w:r>
        <w:rPr>
          <w:rFonts w:hint="eastAsia" w:ascii="宋体" w:hAnsi="宋体" w:eastAsia="宋体" w:cs="宋体"/>
          <w:b/>
          <w:bCs/>
        </w:rPr>
        <w:t>143</w:t>
      </w:r>
      <w:r>
        <w:rPr>
          <w:rFonts w:hint="eastAsia" w:ascii="宋体" w:hAnsi="宋体" w:eastAsia="宋体" w:cs="宋体"/>
          <w:b/>
          <w:bCs/>
        </w:rPr>
        <w:fldChar w:fldCharType="end"/>
      </w:r>
      <w:r>
        <w:rPr>
          <w:rFonts w:hint="eastAsia" w:ascii="宋体" w:hAnsi="宋体" w:eastAsia="宋体" w:cs="宋体"/>
          <w:b/>
          <w:bCs/>
          <w:szCs w:val="24"/>
        </w:rPr>
        <w:fldChar w:fldCharType="end"/>
      </w:r>
    </w:p>
    <w:p w14:paraId="43FE6456">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eastAsia="宋体" w:cs="宋体"/>
          <w:b/>
          <w:bCs/>
          <w:szCs w:val="24"/>
        </w:rPr>
        <w:fldChar w:fldCharType="end"/>
      </w:r>
    </w:p>
    <w:p w14:paraId="6729704F">
      <w:pPr>
        <w:spacing w:line="360" w:lineRule="auto"/>
      </w:pPr>
    </w:p>
    <w:p w14:paraId="0C7BFCDE">
      <w:pPr>
        <w:spacing w:line="360" w:lineRule="auto"/>
        <w:sectPr>
          <w:headerReference r:id="rId8" w:type="default"/>
          <w:footerReference r:id="rId9" w:type="default"/>
          <w:footerReference r:id="rId10" w:type="even"/>
          <w:footnotePr>
            <w:numFmt w:val="decimalEnclosedCircleChinese"/>
            <w:numRestart w:val="eachPage"/>
          </w:footnotePr>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7ACFC2E8">
      <w:pPr>
        <w:spacing w:line="240" w:lineRule="auto"/>
        <w:jc w:val="left"/>
        <w:rPr>
          <w:rFonts w:hint="eastAsia" w:eastAsia="黑体"/>
          <w:sz w:val="32"/>
          <w:szCs w:val="32"/>
        </w:rPr>
      </w:pPr>
      <w:bookmarkStart w:id="5" w:name="_Toc459237381"/>
      <w:bookmarkStart w:id="6" w:name="_Toc475825717"/>
      <w:bookmarkStart w:id="7" w:name="_Toc452457615"/>
      <w:r>
        <w:rPr>
          <w:rFonts w:hint="eastAsia" w:eastAsia="黑体"/>
          <w:sz w:val="32"/>
          <w:szCs w:val="32"/>
        </w:rPr>
        <w:br w:type="page"/>
      </w:r>
    </w:p>
    <w:p w14:paraId="7B5CE066">
      <w:pPr>
        <w:spacing w:line="360" w:lineRule="auto"/>
        <w:jc w:val="center"/>
        <w:outlineLvl w:val="0"/>
        <w:rPr>
          <w:rFonts w:hint="eastAsia" w:eastAsia="黑体"/>
          <w:sz w:val="32"/>
          <w:szCs w:val="32"/>
        </w:rPr>
      </w:pPr>
      <w:bookmarkStart w:id="8" w:name="_Toc9812"/>
      <w:bookmarkStart w:id="9" w:name="_Toc10573"/>
      <w:bookmarkStart w:id="10" w:name="_Toc19365"/>
      <w:r>
        <w:rPr>
          <w:rFonts w:hint="eastAsia" w:eastAsia="黑体"/>
          <w:sz w:val="32"/>
          <w:szCs w:val="32"/>
        </w:rPr>
        <w:t xml:space="preserve">□第一章 </w:t>
      </w:r>
      <w:bookmarkEnd w:id="5"/>
      <w:bookmarkEnd w:id="6"/>
      <w:bookmarkEnd w:id="7"/>
      <w:r>
        <w:rPr>
          <w:rFonts w:hint="eastAsia" w:eastAsia="黑体"/>
          <w:sz w:val="32"/>
          <w:szCs w:val="32"/>
          <w:lang w:eastAsia="zh-CN"/>
        </w:rPr>
        <w:t>发包公告</w:t>
      </w:r>
      <w:bookmarkEnd w:id="8"/>
      <w:bookmarkEnd w:id="9"/>
      <w:bookmarkEnd w:id="10"/>
    </w:p>
    <w:p w14:paraId="5592071D">
      <w:pPr>
        <w:spacing w:line="360" w:lineRule="auto"/>
        <w:ind w:firstLine="562" w:firstLineChars="200"/>
        <w:jc w:val="center"/>
        <w:rPr>
          <w:rFonts w:hint="eastAsia" w:eastAsia="黑体"/>
          <w:b/>
          <w:sz w:val="28"/>
          <w:szCs w:val="28"/>
          <w:lang w:eastAsia="zh-CN"/>
        </w:rPr>
      </w:pPr>
      <w:r>
        <w:rPr>
          <w:rFonts w:eastAsia="黑体"/>
          <w:b/>
          <w:sz w:val="28"/>
          <w:szCs w:val="28"/>
        </w:rPr>
        <w:t>_____________________</w:t>
      </w:r>
      <w:r>
        <w:rPr>
          <w:rFonts w:hint="eastAsia" w:eastAsia="黑体"/>
          <w:b/>
          <w:sz w:val="28"/>
          <w:szCs w:val="28"/>
        </w:rPr>
        <w:t>（项目名称）施工</w:t>
      </w:r>
      <w:r>
        <w:rPr>
          <w:rFonts w:hint="eastAsia" w:eastAsia="黑体"/>
          <w:b/>
          <w:sz w:val="28"/>
          <w:szCs w:val="28"/>
          <w:lang w:eastAsia="zh-CN"/>
        </w:rPr>
        <w:t>发包公告</w:t>
      </w:r>
    </w:p>
    <w:p w14:paraId="55063282">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sz w:val="21"/>
          <w:szCs w:val="21"/>
        </w:rPr>
      </w:pPr>
      <w:bookmarkStart w:id="11" w:name="_Toc475825718"/>
      <w:bookmarkStart w:id="12" w:name="_Toc14035"/>
      <w:bookmarkStart w:id="13" w:name="_Toc154675023"/>
      <w:bookmarkStart w:id="14" w:name="_Toc459237382"/>
      <w:bookmarkStart w:id="15" w:name="_Toc12908"/>
      <w:bookmarkStart w:id="16" w:name="_Toc452457616"/>
      <w:r>
        <w:rPr>
          <w:rFonts w:hint="eastAsia" w:ascii="宋体" w:hAnsi="宋体" w:eastAsia="宋体" w:cs="宋体"/>
          <w:b/>
          <w:bCs/>
          <w:sz w:val="21"/>
          <w:szCs w:val="21"/>
        </w:rPr>
        <w:t>1．</w:t>
      </w:r>
      <w:r>
        <w:rPr>
          <w:rFonts w:hint="eastAsia" w:ascii="宋体" w:hAnsi="宋体" w:eastAsia="宋体" w:cs="宋体"/>
          <w:b/>
          <w:bCs/>
          <w:sz w:val="21"/>
          <w:szCs w:val="21"/>
          <w:lang w:val="en-US" w:eastAsia="zh-CN"/>
        </w:rPr>
        <w:t>发包</w:t>
      </w:r>
      <w:r>
        <w:rPr>
          <w:rFonts w:hint="eastAsia" w:ascii="宋体" w:hAnsi="宋体" w:eastAsia="宋体" w:cs="宋体"/>
          <w:b/>
          <w:bCs/>
          <w:sz w:val="21"/>
          <w:szCs w:val="21"/>
        </w:rPr>
        <w:t>条件</w:t>
      </w:r>
      <w:bookmarkEnd w:id="11"/>
      <w:bookmarkEnd w:id="12"/>
      <w:bookmarkEnd w:id="13"/>
      <w:bookmarkEnd w:id="14"/>
      <w:bookmarkEnd w:id="15"/>
      <w:bookmarkEnd w:id="16"/>
    </w:p>
    <w:p w14:paraId="5D65686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val="en-US" w:eastAsia="zh-CN"/>
        </w:rPr>
        <w:t>发包</w:t>
      </w:r>
      <w:r>
        <w:rPr>
          <w:rFonts w:hint="eastAsia" w:ascii="宋体" w:hAnsi="宋体" w:eastAsia="宋体" w:cs="宋体"/>
          <w:sz w:val="21"/>
          <w:szCs w:val="21"/>
        </w:rPr>
        <w:t>项目_____________（项目名称）已由____________（项目审批、核准或备案机关名称）以_____________（批文名称及编号）批准建设，施工图设计已由______________（批准机关名称）以______________（批文名称及编号）批准，项目业主为______________，建设资金来自____（资金来源），资金已落实，</w:t>
      </w:r>
      <w:r>
        <w:rPr>
          <w:rFonts w:hint="eastAsia" w:ascii="宋体" w:hAnsi="宋体" w:eastAsia="宋体" w:cs="宋体"/>
          <w:sz w:val="21"/>
          <w:szCs w:val="21"/>
          <w:lang w:eastAsia="zh-CN"/>
        </w:rPr>
        <w:t>发包人</w:t>
      </w:r>
      <w:r>
        <w:rPr>
          <w:rFonts w:hint="eastAsia" w:ascii="宋体" w:hAnsi="宋体" w:eastAsia="宋体" w:cs="宋体"/>
          <w:sz w:val="21"/>
          <w:szCs w:val="21"/>
        </w:rPr>
        <w:t>为_________________，</w:t>
      </w:r>
      <w:r>
        <w:rPr>
          <w:rFonts w:hint="eastAsia" w:ascii="宋体" w:hAnsi="宋体" w:cs="宋体"/>
          <w:sz w:val="21"/>
          <w:szCs w:val="21"/>
          <w:lang w:eastAsia="zh-CN"/>
        </w:rPr>
        <w:t>中介代理机构</w:t>
      </w:r>
      <w:r>
        <w:rPr>
          <w:rFonts w:hint="eastAsia" w:ascii="宋体" w:hAnsi="宋体" w:eastAsia="宋体" w:cs="宋体"/>
          <w:sz w:val="21"/>
          <w:szCs w:val="21"/>
        </w:rPr>
        <w:t>为_________________。项目已具备</w:t>
      </w:r>
      <w:r>
        <w:rPr>
          <w:rFonts w:hint="eastAsia" w:ascii="宋体" w:hAnsi="宋体" w:cs="宋体"/>
          <w:sz w:val="21"/>
          <w:szCs w:val="21"/>
          <w:lang w:eastAsia="zh-CN"/>
        </w:rPr>
        <w:t>发包</w:t>
      </w:r>
      <w:r>
        <w:rPr>
          <w:rFonts w:hint="eastAsia" w:ascii="宋体" w:hAnsi="宋体" w:eastAsia="宋体" w:cs="宋体"/>
          <w:sz w:val="21"/>
          <w:szCs w:val="21"/>
        </w:rPr>
        <w:t>条件，现对该项目的施工进行公开</w:t>
      </w:r>
      <w:r>
        <w:rPr>
          <w:rFonts w:hint="eastAsia" w:ascii="宋体" w:hAnsi="宋体" w:cs="宋体"/>
          <w:sz w:val="21"/>
          <w:szCs w:val="21"/>
          <w:lang w:val="en-US" w:eastAsia="zh-CN"/>
        </w:rPr>
        <w:t>发包，</w:t>
      </w:r>
      <w:r>
        <w:rPr>
          <w:rFonts w:hint="eastAsia" w:ascii="宋体" w:hAnsi="宋体" w:eastAsia="宋体" w:cs="宋体"/>
          <w:sz w:val="21"/>
          <w:szCs w:val="21"/>
        </w:rPr>
        <w:t>实行资格后审。</w:t>
      </w:r>
      <w:bookmarkStart w:id="17" w:name="EB856e1b0d79494b8789433c3cd79caf23"/>
      <w:r>
        <w:rPr>
          <w:rFonts w:hint="eastAsia" w:ascii="宋体" w:hAnsi="宋体" w:eastAsia="宋体" w:cs="宋体"/>
          <w:sz w:val="21"/>
          <w:szCs w:val="21"/>
        </w:rPr>
        <w:t xml:space="preserve"> </w:t>
      </w:r>
      <w:bookmarkEnd w:id="17"/>
    </w:p>
    <w:p w14:paraId="091286D1">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b/>
          <w:bCs/>
          <w:sz w:val="20"/>
        </w:rPr>
      </w:pPr>
      <w:bookmarkStart w:id="18" w:name="_Toc154675024"/>
      <w:bookmarkStart w:id="19" w:name="_Toc24151"/>
      <w:bookmarkStart w:id="20" w:name="_Toc16273"/>
      <w:bookmarkStart w:id="21" w:name="_Toc452457617"/>
      <w:r>
        <w:rPr>
          <w:rFonts w:hint="eastAsia"/>
          <w:b/>
          <w:bCs/>
          <w:sz w:val="20"/>
        </w:rPr>
        <w:t>2．项目</w:t>
      </w:r>
      <w:r>
        <w:rPr>
          <w:rFonts w:hint="eastAsia" w:ascii="宋体" w:hAnsi="宋体" w:eastAsia="宋体" w:cs="宋体"/>
          <w:b/>
          <w:bCs/>
          <w:sz w:val="21"/>
          <w:szCs w:val="21"/>
          <w:lang w:val="en-US" w:eastAsia="zh-CN"/>
        </w:rPr>
        <w:t>概况</w:t>
      </w:r>
      <w:r>
        <w:rPr>
          <w:rFonts w:hint="eastAsia"/>
          <w:b/>
          <w:bCs/>
          <w:sz w:val="20"/>
        </w:rPr>
        <w:t>与</w:t>
      </w:r>
      <w:r>
        <w:rPr>
          <w:rFonts w:hint="eastAsia"/>
          <w:b/>
          <w:bCs/>
          <w:sz w:val="20"/>
          <w:lang w:val="en-US" w:eastAsia="zh-CN"/>
        </w:rPr>
        <w:t>发包</w:t>
      </w:r>
      <w:r>
        <w:rPr>
          <w:rFonts w:hint="eastAsia"/>
          <w:b/>
          <w:bCs/>
          <w:sz w:val="20"/>
        </w:rPr>
        <w:t>范围</w:t>
      </w:r>
      <w:bookmarkEnd w:id="18"/>
      <w:bookmarkEnd w:id="19"/>
      <w:bookmarkEnd w:id="20"/>
      <w:bookmarkEnd w:id="21"/>
    </w:p>
    <w:p w14:paraId="72DB8ED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22" w:name="EB3e450f6644fd4894b10d83e053028dbc"/>
      <w:r>
        <w:rPr>
          <w:rFonts w:hint="eastAsia" w:ascii="宋体" w:hAnsi="宋体" w:eastAsia="宋体" w:cs="宋体"/>
          <w:sz w:val="21"/>
          <w:szCs w:val="21"/>
        </w:rPr>
        <w:t>2.1项目概况：</w:t>
      </w:r>
      <w:r>
        <w:rPr>
          <w:rFonts w:hint="eastAsia" w:ascii="宋体" w:hAnsi="宋体" w:eastAsia="宋体" w:cs="宋体"/>
          <w:sz w:val="21"/>
          <w:szCs w:val="21"/>
          <w:u w:val="single"/>
        </w:rPr>
        <w:t>（说明本次</w:t>
      </w:r>
      <w:r>
        <w:rPr>
          <w:rFonts w:hint="eastAsia" w:ascii="宋体" w:hAnsi="宋体" w:cs="宋体"/>
          <w:sz w:val="21"/>
          <w:szCs w:val="21"/>
          <w:u w:val="single"/>
          <w:lang w:eastAsia="zh-CN"/>
        </w:rPr>
        <w:t>发包</w:t>
      </w:r>
      <w:r>
        <w:rPr>
          <w:rFonts w:hint="eastAsia" w:ascii="宋体" w:hAnsi="宋体" w:eastAsia="宋体" w:cs="宋体"/>
          <w:sz w:val="21"/>
          <w:szCs w:val="21"/>
          <w:u w:val="single"/>
        </w:rPr>
        <w:t xml:space="preserve">项目的建设地点、规模等）                         </w:t>
      </w:r>
    </w:p>
    <w:p w14:paraId="77B9BF1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2.2技术标准：</w:t>
      </w:r>
      <w:r>
        <w:rPr>
          <w:rFonts w:hint="eastAsia" w:ascii="宋体" w:hAnsi="宋体" w:eastAsia="宋体" w:cs="宋体"/>
          <w:sz w:val="21"/>
          <w:szCs w:val="21"/>
          <w:u w:val="single"/>
        </w:rPr>
        <w:t xml:space="preserve">                                                               </w:t>
      </w:r>
    </w:p>
    <w:p w14:paraId="53167DE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发包</w:t>
      </w:r>
      <w:r>
        <w:rPr>
          <w:rFonts w:hint="eastAsia" w:ascii="宋体" w:hAnsi="宋体" w:eastAsia="宋体" w:cs="宋体"/>
          <w:sz w:val="21"/>
          <w:szCs w:val="21"/>
        </w:rPr>
        <w:t>范围及标段划分：</w:t>
      </w:r>
      <w:r>
        <w:rPr>
          <w:rFonts w:hint="eastAsia" w:ascii="宋体" w:hAnsi="宋体" w:eastAsia="宋体" w:cs="宋体"/>
          <w:sz w:val="21"/>
          <w:szCs w:val="21"/>
          <w:u w:val="single"/>
        </w:rPr>
        <w:t>（包括</w:t>
      </w:r>
      <w:r>
        <w:rPr>
          <w:rFonts w:hint="eastAsia" w:ascii="宋体" w:hAnsi="宋体" w:cs="宋体"/>
          <w:sz w:val="21"/>
          <w:szCs w:val="21"/>
          <w:u w:val="single"/>
          <w:lang w:val="en-US" w:eastAsia="zh-CN"/>
        </w:rPr>
        <w:t>发包</w:t>
      </w:r>
      <w:r>
        <w:rPr>
          <w:rFonts w:hint="eastAsia" w:ascii="宋体" w:hAnsi="宋体" w:eastAsia="宋体" w:cs="宋体"/>
          <w:sz w:val="21"/>
          <w:szCs w:val="21"/>
          <w:u w:val="single"/>
        </w:rPr>
        <w:t>范围、标段划分、</w:t>
      </w:r>
      <w:r>
        <w:rPr>
          <w:rFonts w:hint="eastAsia" w:ascii="宋体" w:hAnsi="宋体" w:cs="宋体"/>
          <w:sz w:val="21"/>
          <w:szCs w:val="21"/>
          <w:u w:val="single"/>
          <w:lang w:val="en-US" w:eastAsia="zh-CN"/>
        </w:rPr>
        <w:t>预</w:t>
      </w:r>
      <w:r>
        <w:rPr>
          <w:rFonts w:hint="eastAsia" w:ascii="宋体" w:hAnsi="宋体" w:eastAsia="宋体" w:cs="宋体"/>
          <w:sz w:val="21"/>
          <w:szCs w:val="21"/>
          <w:u w:val="single"/>
        </w:rPr>
        <w:t xml:space="preserve">算造价、主要结构形式等） </w:t>
      </w:r>
    </w:p>
    <w:p w14:paraId="5B185CF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2.4计划工期：</w:t>
      </w:r>
      <w:r>
        <w:rPr>
          <w:rFonts w:hint="eastAsia" w:ascii="宋体" w:hAnsi="宋体" w:eastAsia="宋体" w:cs="宋体"/>
          <w:sz w:val="21"/>
          <w:szCs w:val="21"/>
          <w:u w:val="single"/>
        </w:rPr>
        <w:t xml:space="preserve">                                                               </w:t>
      </w:r>
    </w:p>
    <w:bookmarkEnd w:id="22"/>
    <w:p w14:paraId="0176744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bookmarkStart w:id="23" w:name="EB36e163d1629046c197c9564d50b951c5"/>
      <w:r>
        <w:rPr>
          <w:rFonts w:hint="eastAsia" w:ascii="宋体" w:hAnsi="宋体" w:eastAsia="宋体" w:cs="宋体"/>
          <w:sz w:val="21"/>
          <w:szCs w:val="21"/>
        </w:rPr>
        <w:t>2.5是否属于政府采购工程</w:t>
      </w:r>
      <w:r>
        <w:rPr>
          <w:rFonts w:hint="eastAsia" w:ascii="宋体" w:hAnsi="宋体" w:cs="宋体"/>
          <w:sz w:val="21"/>
          <w:szCs w:val="21"/>
          <w:lang w:eastAsia="zh-CN"/>
        </w:rPr>
        <w:t>：</w:t>
      </w:r>
      <w:r>
        <w:rPr>
          <w:rFonts w:hint="eastAsia" w:ascii="宋体" w:hAnsi="宋体" w:eastAsia="宋体" w:cs="宋体"/>
          <w:sz w:val="21"/>
          <w:szCs w:val="21"/>
        </w:rPr>
        <w:t xml:space="preserve"> □是  □否</w:t>
      </w:r>
    </w:p>
    <w:p w14:paraId="3AE1A53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2.6是否专门面向中小企业预留</w:t>
      </w:r>
      <w:r>
        <w:rPr>
          <w:rFonts w:hint="eastAsia" w:ascii="宋体" w:hAnsi="宋体" w:cs="宋体"/>
          <w:sz w:val="21"/>
          <w:szCs w:val="21"/>
          <w:lang w:eastAsia="zh-CN"/>
        </w:rPr>
        <w:t>：</w:t>
      </w:r>
      <w:r>
        <w:rPr>
          <w:rFonts w:hint="eastAsia" w:ascii="宋体" w:hAnsi="宋体" w:eastAsia="宋体" w:cs="宋体"/>
          <w:sz w:val="21"/>
          <w:szCs w:val="21"/>
        </w:rPr>
        <w:t xml:space="preserve">□是  □否 </w:t>
      </w:r>
      <w:r>
        <w:rPr>
          <w:rFonts w:hint="eastAsia" w:ascii="宋体" w:hAnsi="宋体" w:eastAsia="宋体" w:cs="宋体"/>
          <w:sz w:val="21"/>
          <w:szCs w:val="21"/>
          <w:u w:val="single"/>
        </w:rPr>
        <w:t>（不专门面向中小企业采购的原因及适用条款）</w:t>
      </w:r>
    </w:p>
    <w:p w14:paraId="6D54317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2.7专门面向中小企业预留的实施方式</w:t>
      </w:r>
      <w:r>
        <w:rPr>
          <w:rFonts w:hint="eastAsia" w:ascii="宋体" w:hAnsi="宋体" w:cs="宋体"/>
          <w:sz w:val="21"/>
          <w:szCs w:val="21"/>
          <w:lang w:eastAsia="zh-CN"/>
        </w:rPr>
        <w:t>：</w:t>
      </w:r>
    </w:p>
    <w:p w14:paraId="1467ACA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□本标段整体面向中小企业；</w:t>
      </w:r>
    </w:p>
    <w:p w14:paraId="5B2276F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□本标段联合体形式面向中小企业，以联合体形式参加本次</w:t>
      </w:r>
      <w:r>
        <w:rPr>
          <w:rFonts w:hint="eastAsia" w:ascii="宋体" w:hAnsi="宋体" w:cs="宋体"/>
          <w:sz w:val="21"/>
          <w:szCs w:val="21"/>
          <w:lang w:eastAsia="zh-CN"/>
        </w:rPr>
        <w:t>竞包</w:t>
      </w:r>
      <w:r>
        <w:rPr>
          <w:rFonts w:hint="eastAsia" w:ascii="宋体" w:hAnsi="宋体" w:eastAsia="宋体" w:cs="宋体"/>
          <w:sz w:val="21"/>
          <w:szCs w:val="21"/>
        </w:rPr>
        <w:t>的，联合体中中小企业承担的合同份额需达到（不低于40%）以上。</w:t>
      </w:r>
      <w:bookmarkEnd w:id="23"/>
    </w:p>
    <w:p w14:paraId="3768459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highlight w:val="none"/>
        </w:rPr>
        <w:t>2.</w:t>
      </w:r>
      <w:r>
        <w:rPr>
          <w:rFonts w:hint="eastAsia" w:ascii="宋体" w:hAnsi="宋体"/>
          <w:highlight w:val="none"/>
          <w:lang w:val="en-US" w:eastAsia="zh-CN"/>
        </w:rPr>
        <w:t>8</w:t>
      </w:r>
      <w:r>
        <w:rPr>
          <w:rFonts w:hint="eastAsia" w:ascii="宋体" w:hAnsi="宋体"/>
          <w:highlight w:val="none"/>
        </w:rPr>
        <w:t>本次发包控制价</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u w:val="none"/>
        </w:rPr>
        <w:t xml:space="preserve">万元， </w:t>
      </w:r>
      <w:r>
        <w:rPr>
          <w:rFonts w:hint="eastAsia" w:ascii="宋体" w:hAnsi="宋体" w:cs="宋体"/>
          <w:szCs w:val="21"/>
          <w:highlight w:val="none"/>
        </w:rPr>
        <w:t>□发包人确定下浮率</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rPr>
        <w:t>。</w:t>
      </w:r>
    </w:p>
    <w:p w14:paraId="2E96BAFB">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b/>
          <w:bCs/>
          <w:sz w:val="20"/>
        </w:rPr>
      </w:pPr>
      <w:bookmarkStart w:id="24" w:name="_Toc154675025"/>
      <w:bookmarkStart w:id="25" w:name="_Toc18820"/>
      <w:bookmarkStart w:id="26" w:name="_Toc452457618"/>
      <w:bookmarkStart w:id="27" w:name="_Toc18138"/>
      <w:r>
        <w:rPr>
          <w:rFonts w:hint="eastAsia"/>
          <w:b/>
          <w:bCs/>
          <w:sz w:val="20"/>
        </w:rPr>
        <w:t>3．</w:t>
      </w:r>
      <w:r>
        <w:rPr>
          <w:rFonts w:hint="eastAsia"/>
          <w:b/>
          <w:bCs/>
          <w:sz w:val="20"/>
          <w:lang w:eastAsia="zh-CN"/>
        </w:rPr>
        <w:t>竞包人</w:t>
      </w:r>
      <w:r>
        <w:rPr>
          <w:rFonts w:hint="eastAsia"/>
          <w:b/>
          <w:bCs/>
          <w:sz w:val="20"/>
        </w:rPr>
        <w:t>资格要求</w:t>
      </w:r>
      <w:bookmarkEnd w:id="24"/>
      <w:bookmarkEnd w:id="25"/>
      <w:bookmarkEnd w:id="26"/>
      <w:bookmarkEnd w:id="27"/>
    </w:p>
    <w:p w14:paraId="7C0CC76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本次</w:t>
      </w:r>
      <w:r>
        <w:rPr>
          <w:rFonts w:hint="eastAsia" w:ascii="宋体" w:hAnsi="宋体" w:eastAsia="宋体" w:cs="宋体"/>
          <w:sz w:val="21"/>
          <w:szCs w:val="21"/>
          <w:lang w:val="en-US" w:eastAsia="zh-CN"/>
        </w:rPr>
        <w:t>发包</w:t>
      </w:r>
      <w:r>
        <w:rPr>
          <w:rFonts w:hint="eastAsia" w:ascii="宋体" w:hAnsi="宋体" w:eastAsia="宋体" w:cs="宋体"/>
          <w:sz w:val="21"/>
          <w:szCs w:val="21"/>
        </w:rPr>
        <w:t>要求</w:t>
      </w:r>
      <w:r>
        <w:rPr>
          <w:rFonts w:hint="eastAsia" w:ascii="宋体" w:hAnsi="宋体" w:eastAsia="宋体" w:cs="宋体"/>
          <w:sz w:val="21"/>
          <w:szCs w:val="21"/>
          <w:lang w:eastAsia="zh-CN"/>
        </w:rPr>
        <w:t>竞包人</w:t>
      </w:r>
      <w:r>
        <w:rPr>
          <w:rFonts w:hint="eastAsia" w:ascii="宋体" w:hAnsi="宋体" w:eastAsia="宋体" w:cs="宋体"/>
          <w:sz w:val="21"/>
          <w:szCs w:val="21"/>
        </w:rPr>
        <w:t>须具备_______________资质，有效的企业安全生产许可证。</w:t>
      </w:r>
    </w:p>
    <w:p w14:paraId="150722E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具有公路工程施工总承包特级、一级资质及交通工程专业承包资质的</w:t>
      </w:r>
      <w:r>
        <w:rPr>
          <w:rFonts w:hint="eastAsia" w:ascii="宋体" w:hAnsi="宋体" w:eastAsia="宋体" w:cs="宋体"/>
          <w:sz w:val="21"/>
          <w:szCs w:val="21"/>
          <w:lang w:eastAsia="zh-CN"/>
        </w:rPr>
        <w:t>竞包人</w:t>
      </w:r>
      <w:r>
        <w:rPr>
          <w:rFonts w:hint="eastAsia" w:ascii="宋体" w:hAnsi="宋体" w:eastAsia="宋体" w:cs="宋体"/>
          <w:sz w:val="21"/>
          <w:szCs w:val="21"/>
        </w:rPr>
        <w:t>应进入交通运输部“全国公路建设市场信用信息管理系统（https://glxy.mot.gov.cn）”中的公路工程施工资质企业名录，且</w:t>
      </w:r>
      <w:r>
        <w:rPr>
          <w:rFonts w:hint="eastAsia" w:ascii="宋体" w:hAnsi="宋体" w:eastAsia="宋体" w:cs="宋体"/>
          <w:sz w:val="21"/>
          <w:szCs w:val="21"/>
          <w:lang w:eastAsia="zh-CN"/>
        </w:rPr>
        <w:t>竞包人</w:t>
      </w:r>
      <w:r>
        <w:rPr>
          <w:rFonts w:hint="eastAsia" w:ascii="宋体" w:hAnsi="宋体" w:eastAsia="宋体" w:cs="宋体"/>
          <w:sz w:val="21"/>
          <w:szCs w:val="21"/>
        </w:rPr>
        <w:t>名称和资质与该名录中的相应企业名称和资质完全一致。</w:t>
      </w:r>
    </w:p>
    <w:p w14:paraId="5ADF0BE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本次</w:t>
      </w:r>
      <w:r>
        <w:rPr>
          <w:rFonts w:hint="eastAsia" w:ascii="宋体" w:hAnsi="宋体" w:eastAsia="宋体" w:cs="宋体"/>
          <w:sz w:val="21"/>
          <w:szCs w:val="21"/>
          <w:lang w:val="en-US" w:eastAsia="zh-CN"/>
        </w:rPr>
        <w:t>发包</w:t>
      </w:r>
      <w:r>
        <w:rPr>
          <w:rFonts w:hint="eastAsia" w:ascii="宋体" w:hAnsi="宋体" w:eastAsia="宋体" w:cs="宋体"/>
          <w:sz w:val="21"/>
          <w:szCs w:val="21"/>
        </w:rPr>
        <w:t>不接受联合体</w:t>
      </w:r>
      <w:r>
        <w:rPr>
          <w:rFonts w:hint="eastAsia" w:ascii="宋体" w:hAnsi="宋体" w:cs="宋体"/>
          <w:sz w:val="21"/>
          <w:szCs w:val="21"/>
          <w:lang w:eastAsia="zh-CN"/>
        </w:rPr>
        <w:t>竞包</w:t>
      </w:r>
      <w:r>
        <w:rPr>
          <w:rFonts w:hint="eastAsia" w:ascii="宋体" w:hAnsi="宋体" w:eastAsia="宋体" w:cs="宋体"/>
          <w:sz w:val="21"/>
          <w:szCs w:val="21"/>
        </w:rPr>
        <w:t>。</w:t>
      </w:r>
    </w:p>
    <w:p w14:paraId="13F38B1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本次</w:t>
      </w:r>
      <w:r>
        <w:rPr>
          <w:rFonts w:hint="eastAsia" w:ascii="宋体" w:hAnsi="宋体" w:eastAsia="宋体" w:cs="宋体"/>
          <w:sz w:val="21"/>
          <w:szCs w:val="21"/>
          <w:lang w:val="en-US" w:eastAsia="zh-CN"/>
        </w:rPr>
        <w:t>发包</w:t>
      </w:r>
      <w:r>
        <w:rPr>
          <w:rFonts w:hint="eastAsia" w:ascii="宋体" w:hAnsi="宋体" w:eastAsia="宋体" w:cs="宋体"/>
          <w:sz w:val="21"/>
          <w:szCs w:val="21"/>
        </w:rPr>
        <w:t>接受联合体</w:t>
      </w:r>
      <w:r>
        <w:rPr>
          <w:rFonts w:hint="eastAsia" w:ascii="宋体" w:hAnsi="宋体" w:cs="宋体"/>
          <w:sz w:val="21"/>
          <w:szCs w:val="21"/>
          <w:lang w:eastAsia="zh-CN"/>
        </w:rPr>
        <w:t>竞包</w:t>
      </w:r>
      <w:r>
        <w:rPr>
          <w:rFonts w:hint="eastAsia" w:ascii="宋体" w:hAnsi="宋体" w:eastAsia="宋体" w:cs="宋体"/>
          <w:sz w:val="21"/>
          <w:szCs w:val="21"/>
        </w:rPr>
        <w:t>。</w:t>
      </w:r>
    </w:p>
    <w:p w14:paraId="1E8CA40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联合体</w:t>
      </w:r>
      <w:r>
        <w:rPr>
          <w:rFonts w:hint="eastAsia" w:ascii="宋体" w:hAnsi="宋体" w:cs="宋体"/>
          <w:sz w:val="21"/>
          <w:szCs w:val="21"/>
          <w:lang w:eastAsia="zh-CN"/>
        </w:rPr>
        <w:t>竞包</w:t>
      </w:r>
      <w:r>
        <w:rPr>
          <w:rFonts w:hint="eastAsia" w:ascii="宋体" w:hAnsi="宋体" w:eastAsia="宋体" w:cs="宋体"/>
          <w:sz w:val="21"/>
          <w:szCs w:val="21"/>
        </w:rPr>
        <w:t>的，应满足下列要求：_____________________________________。</w:t>
      </w:r>
    </w:p>
    <w:p w14:paraId="2AC55E9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与</w:t>
      </w:r>
      <w:r>
        <w:rPr>
          <w:rFonts w:hint="eastAsia" w:ascii="宋体" w:hAnsi="宋体" w:eastAsia="宋体" w:cs="宋体"/>
          <w:sz w:val="21"/>
          <w:szCs w:val="21"/>
          <w:lang w:eastAsia="zh-CN"/>
        </w:rPr>
        <w:t>发包人</w:t>
      </w:r>
      <w:r>
        <w:rPr>
          <w:rFonts w:hint="eastAsia" w:ascii="宋体" w:hAnsi="宋体" w:eastAsia="宋体" w:cs="宋体"/>
          <w:sz w:val="21"/>
          <w:szCs w:val="21"/>
        </w:rPr>
        <w:t>存在利害关系可能影响</w:t>
      </w:r>
      <w:r>
        <w:rPr>
          <w:rFonts w:hint="eastAsia" w:ascii="宋体" w:hAnsi="宋体" w:cs="宋体"/>
          <w:sz w:val="21"/>
          <w:szCs w:val="21"/>
          <w:lang w:eastAsia="zh-CN"/>
        </w:rPr>
        <w:t>发包</w:t>
      </w:r>
      <w:r>
        <w:rPr>
          <w:rFonts w:hint="eastAsia" w:ascii="宋体" w:hAnsi="宋体" w:eastAsia="宋体" w:cs="宋体"/>
          <w:sz w:val="21"/>
          <w:szCs w:val="21"/>
        </w:rPr>
        <w:t>公正性的单位，不得参加</w:t>
      </w:r>
      <w:r>
        <w:rPr>
          <w:rFonts w:hint="eastAsia" w:ascii="宋体" w:hAnsi="宋体" w:cs="宋体"/>
          <w:sz w:val="21"/>
          <w:szCs w:val="21"/>
          <w:lang w:eastAsia="zh-CN"/>
        </w:rPr>
        <w:t>竞包</w:t>
      </w:r>
      <w:r>
        <w:rPr>
          <w:rFonts w:hint="eastAsia" w:ascii="宋体" w:hAnsi="宋体" w:eastAsia="宋体" w:cs="宋体"/>
          <w:sz w:val="21"/>
          <w:szCs w:val="21"/>
        </w:rPr>
        <w:t>。单位负责人为同</w:t>
      </w:r>
      <w:r>
        <w:rPr>
          <w:rFonts w:hint="eastAsia" w:ascii="宋体" w:hAnsi="宋体" w:eastAsia="宋体" w:cs="宋体"/>
          <w:b/>
          <w:sz w:val="21"/>
          <w:szCs w:val="21"/>
        </w:rPr>
        <w:t>一</w:t>
      </w:r>
      <w:r>
        <w:rPr>
          <w:rFonts w:hint="eastAsia" w:ascii="宋体" w:hAnsi="宋体" w:eastAsia="宋体" w:cs="宋体"/>
          <w:sz w:val="21"/>
          <w:szCs w:val="21"/>
        </w:rPr>
        <w:t>人或者存在控股（含法定代表人控股）、管理关系的不同单位，不得参加同一标段的</w:t>
      </w:r>
      <w:r>
        <w:rPr>
          <w:rFonts w:hint="eastAsia" w:ascii="宋体" w:hAnsi="宋体" w:cs="宋体"/>
          <w:sz w:val="21"/>
          <w:szCs w:val="21"/>
          <w:lang w:eastAsia="zh-CN"/>
        </w:rPr>
        <w:t>竞包</w:t>
      </w:r>
      <w:r>
        <w:rPr>
          <w:rFonts w:hint="eastAsia" w:ascii="宋体" w:hAnsi="宋体" w:eastAsia="宋体" w:cs="宋体"/>
          <w:sz w:val="21"/>
          <w:szCs w:val="21"/>
        </w:rPr>
        <w:t>，否则，相关</w:t>
      </w:r>
      <w:r>
        <w:rPr>
          <w:rFonts w:hint="eastAsia" w:ascii="宋体" w:hAnsi="宋体" w:cs="宋体"/>
          <w:sz w:val="21"/>
          <w:szCs w:val="21"/>
          <w:lang w:eastAsia="zh-CN"/>
        </w:rPr>
        <w:t>竞包</w:t>
      </w:r>
      <w:r>
        <w:rPr>
          <w:rFonts w:hint="eastAsia" w:ascii="宋体" w:hAnsi="宋体" w:eastAsia="宋体" w:cs="宋体"/>
          <w:sz w:val="21"/>
          <w:szCs w:val="21"/>
        </w:rPr>
        <w:t>均无效。</w:t>
      </w:r>
    </w:p>
    <w:p w14:paraId="08A3A94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在“信用中国”网站（http://www.creditchina.gov.cn/）中被列入失信被执行人名单的</w:t>
      </w:r>
      <w:r>
        <w:rPr>
          <w:rFonts w:hint="eastAsia" w:ascii="宋体" w:hAnsi="宋体" w:eastAsia="宋体" w:cs="宋体"/>
          <w:sz w:val="21"/>
          <w:szCs w:val="21"/>
          <w:lang w:eastAsia="zh-CN"/>
        </w:rPr>
        <w:t>竞包人</w:t>
      </w:r>
      <w:r>
        <w:rPr>
          <w:rFonts w:hint="eastAsia" w:ascii="宋体" w:hAnsi="宋体" w:eastAsia="宋体" w:cs="宋体"/>
          <w:sz w:val="21"/>
          <w:szCs w:val="21"/>
        </w:rPr>
        <w:t>，不得参加</w:t>
      </w:r>
      <w:r>
        <w:rPr>
          <w:rFonts w:hint="eastAsia" w:ascii="宋体" w:hAnsi="宋体" w:cs="宋体"/>
          <w:sz w:val="21"/>
          <w:szCs w:val="21"/>
          <w:lang w:eastAsia="zh-CN"/>
        </w:rPr>
        <w:t>竞包</w:t>
      </w:r>
      <w:r>
        <w:rPr>
          <w:rFonts w:hint="eastAsia" w:ascii="宋体" w:hAnsi="宋体" w:eastAsia="宋体" w:cs="宋体"/>
          <w:sz w:val="21"/>
          <w:szCs w:val="21"/>
        </w:rPr>
        <w:t>。</w:t>
      </w:r>
    </w:p>
    <w:p w14:paraId="578E55D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面向中小企业</w:t>
      </w:r>
      <w:r>
        <w:rPr>
          <w:rFonts w:hint="eastAsia" w:ascii="宋体" w:hAnsi="宋体" w:cs="宋体"/>
          <w:sz w:val="21"/>
          <w:szCs w:val="21"/>
          <w:lang w:eastAsia="zh-CN"/>
        </w:rPr>
        <w:t>发包</w:t>
      </w:r>
      <w:r>
        <w:rPr>
          <w:rFonts w:hint="eastAsia" w:ascii="宋体" w:hAnsi="宋体" w:eastAsia="宋体" w:cs="宋体"/>
          <w:sz w:val="21"/>
          <w:szCs w:val="21"/>
        </w:rPr>
        <w:t>的，</w:t>
      </w:r>
      <w:r>
        <w:rPr>
          <w:rFonts w:hint="eastAsia" w:ascii="宋体" w:hAnsi="宋体" w:eastAsia="宋体" w:cs="宋体"/>
          <w:sz w:val="21"/>
          <w:szCs w:val="21"/>
          <w:lang w:eastAsia="zh-CN"/>
        </w:rPr>
        <w:t>竞包人</w:t>
      </w:r>
      <w:r>
        <w:rPr>
          <w:rFonts w:hint="eastAsia" w:ascii="宋体" w:hAnsi="宋体" w:eastAsia="宋体" w:cs="宋体"/>
          <w:sz w:val="21"/>
          <w:szCs w:val="21"/>
        </w:rPr>
        <w:t>（或联合体中的中小企业）须为中小企业，并提供《中小企业声明函》。</w:t>
      </w:r>
    </w:p>
    <w:p w14:paraId="531EF50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6</w:t>
      </w:r>
      <w:r>
        <w:rPr>
          <w:rFonts w:hint="eastAsia" w:ascii="宋体" w:hAnsi="宋体" w:eastAsia="宋体" w:cs="宋体"/>
          <w:sz w:val="21"/>
          <w:szCs w:val="21"/>
        </w:rPr>
        <w:t>其他要求：_______________________。</w:t>
      </w:r>
    </w:p>
    <w:p w14:paraId="1CAAADA8">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b/>
          <w:bCs/>
          <w:sz w:val="20"/>
        </w:rPr>
      </w:pPr>
      <w:bookmarkStart w:id="28" w:name="_Toc27682"/>
      <w:bookmarkStart w:id="29" w:name="_Toc475825721"/>
      <w:bookmarkStart w:id="30" w:name="_Toc154675026"/>
      <w:bookmarkStart w:id="31" w:name="_Toc459237385"/>
      <w:bookmarkStart w:id="32" w:name="_Toc19487"/>
      <w:bookmarkStart w:id="33" w:name="_Toc452457619"/>
      <w:r>
        <w:rPr>
          <w:rFonts w:hint="eastAsia"/>
          <w:b/>
          <w:bCs/>
          <w:sz w:val="20"/>
        </w:rPr>
        <w:t>4．</w:t>
      </w:r>
      <w:r>
        <w:rPr>
          <w:rFonts w:hint="eastAsia"/>
          <w:b/>
          <w:bCs/>
          <w:sz w:val="20"/>
          <w:lang w:eastAsia="zh-CN"/>
        </w:rPr>
        <w:t>发包</w:t>
      </w:r>
      <w:r>
        <w:rPr>
          <w:rFonts w:hint="eastAsia" w:ascii="宋体" w:hAnsi="宋体" w:eastAsia="宋体" w:cs="宋体"/>
          <w:b/>
          <w:bCs/>
          <w:sz w:val="21"/>
          <w:szCs w:val="21"/>
          <w:lang w:val="en-US" w:eastAsia="zh-CN"/>
        </w:rPr>
        <w:t>文件</w:t>
      </w:r>
      <w:r>
        <w:rPr>
          <w:rFonts w:hint="eastAsia"/>
          <w:b/>
          <w:bCs/>
          <w:sz w:val="20"/>
        </w:rPr>
        <w:t>的获取</w:t>
      </w:r>
      <w:bookmarkEnd w:id="28"/>
      <w:bookmarkEnd w:id="29"/>
      <w:bookmarkEnd w:id="30"/>
      <w:bookmarkEnd w:id="31"/>
      <w:bookmarkEnd w:id="32"/>
      <w:bookmarkEnd w:id="33"/>
    </w:p>
    <w:p w14:paraId="3AC98BA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.1本项目发包文件（含图纸）和补充（答疑、澄清）、修改文件以网上下载方式发放于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（泰顺县</w:t>
      </w:r>
      <w:r>
        <w:rPr>
          <w:rFonts w:hint="eastAsia" w:ascii="宋体" w:hAnsi="宋体" w:cs="宋体"/>
          <w:snapToGrid w:val="0"/>
          <w:sz w:val="21"/>
          <w:szCs w:val="21"/>
          <w:lang w:eastAsia="zh-CN"/>
        </w:rPr>
        <w:t>小额工程阳光交易</w:t>
      </w:r>
      <w:r>
        <w:rPr>
          <w:rFonts w:hint="eastAsia" w:ascii="宋体" w:hAnsi="宋体" w:cs="宋体"/>
          <w:snapToGrid w:val="0"/>
          <w:sz w:val="21"/>
          <w:szCs w:val="21"/>
          <w:lang w:val="en-US" w:eastAsia="zh-CN"/>
        </w:rPr>
        <w:t>网</w:t>
      </w:r>
      <w:r>
        <w:rPr>
          <w:rFonts w:hint="eastAsia" w:ascii="宋体" w:hAnsi="宋体" w:eastAsia="宋体" w:cs="宋体"/>
          <w:snapToGrid w:val="0"/>
          <w:sz w:val="21"/>
          <w:szCs w:val="21"/>
        </w:rPr>
        <w:t>）。</w:t>
      </w:r>
    </w:p>
    <w:p w14:paraId="1ADE3FC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.2发包文件下载网址：潜在竞包人通过CA锁在登录</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（泰顺县</w:t>
      </w:r>
      <w:r>
        <w:rPr>
          <w:rFonts w:hint="eastAsia" w:ascii="宋体" w:hAnsi="宋体" w:cs="宋体"/>
          <w:snapToGrid w:val="0"/>
          <w:sz w:val="21"/>
          <w:szCs w:val="21"/>
          <w:lang w:eastAsia="zh-CN"/>
        </w:rPr>
        <w:t>小额工程阳光交易</w:t>
      </w:r>
      <w:r>
        <w:rPr>
          <w:rFonts w:hint="eastAsia" w:ascii="宋体" w:hAnsi="宋体" w:cs="宋体"/>
          <w:snapToGrid w:val="0"/>
          <w:sz w:val="21"/>
          <w:szCs w:val="21"/>
          <w:lang w:val="en-US" w:eastAsia="zh-CN"/>
        </w:rPr>
        <w:t>网</w:t>
      </w:r>
      <w:r>
        <w:rPr>
          <w:rFonts w:hint="eastAsia" w:ascii="宋体" w:hAnsi="宋体" w:eastAsia="宋体" w:cs="宋体"/>
          <w:snapToGrid w:val="0"/>
          <w:sz w:val="21"/>
          <w:szCs w:val="21"/>
        </w:rPr>
        <w:t>）自行下载发包文件。（注：</w:t>
      </w:r>
      <w:r>
        <w:rPr>
          <w:rFonts w:hint="eastAsia" w:ascii="宋体" w:hAnsi="宋体" w:cs="宋体"/>
          <w:snapToGrid w:val="0"/>
          <w:sz w:val="21"/>
          <w:szCs w:val="21"/>
          <w:lang w:val="en-US" w:eastAsia="zh-CN"/>
        </w:rPr>
        <w:t>竞包人</w:t>
      </w:r>
      <w:r>
        <w:rPr>
          <w:rFonts w:hint="eastAsia" w:ascii="宋体" w:hAnsi="宋体" w:eastAsia="宋体" w:cs="宋体"/>
          <w:snapToGrid w:val="0"/>
          <w:sz w:val="21"/>
          <w:szCs w:val="21"/>
        </w:rPr>
        <w:t>需注册入库并办理CA锁，具体操作流程详见泰顺县小额工程阳光交易网的注册及办事指南）</w:t>
      </w:r>
    </w:p>
    <w:p w14:paraId="3FD57DC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.3发包文件网上下载时间：</w:t>
      </w:r>
      <w:r>
        <w:rPr>
          <w:rFonts w:hint="eastAsia" w:ascii="宋体" w:hAnsi="宋体" w:eastAsia="宋体" w:cs="宋体"/>
          <w:b w:val="0"/>
          <w:bCs w:val="0"/>
          <w:snapToGrid w:val="0"/>
          <w:sz w:val="21"/>
          <w:szCs w:val="21"/>
          <w:u w:val="single"/>
        </w:rPr>
        <w:t>公告发布之日起至竞包文件递交截止时间</w:t>
      </w:r>
      <w:r>
        <w:rPr>
          <w:rFonts w:hint="eastAsia" w:ascii="宋体" w:hAnsi="宋体" w:eastAsia="宋体" w:cs="宋体"/>
          <w:snapToGrid w:val="0"/>
          <w:sz w:val="21"/>
          <w:szCs w:val="21"/>
        </w:rPr>
        <w:t>前。</w:t>
      </w:r>
    </w:p>
    <w:p w14:paraId="629F9EAD">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b/>
          <w:bCs/>
          <w:sz w:val="20"/>
        </w:rPr>
      </w:pPr>
      <w:bookmarkStart w:id="34" w:name="_Toc154675027"/>
      <w:bookmarkStart w:id="35" w:name="_Toc475825722"/>
      <w:bookmarkStart w:id="36" w:name="_Toc1304"/>
      <w:bookmarkStart w:id="37" w:name="_Toc452457620"/>
      <w:bookmarkStart w:id="38" w:name="_Toc11215"/>
      <w:bookmarkStart w:id="39" w:name="_Toc459237386"/>
      <w:r>
        <w:rPr>
          <w:rFonts w:hint="eastAsia"/>
          <w:b/>
          <w:bCs/>
          <w:sz w:val="20"/>
        </w:rPr>
        <w:t>5．</w:t>
      </w:r>
      <w:r>
        <w:rPr>
          <w:rFonts w:hint="eastAsia"/>
          <w:b/>
          <w:bCs/>
          <w:sz w:val="20"/>
          <w:lang w:val="en-US" w:eastAsia="zh-CN"/>
        </w:rPr>
        <w:t>竞包</w:t>
      </w:r>
      <w:r>
        <w:rPr>
          <w:rFonts w:hint="eastAsia" w:ascii="宋体" w:hAnsi="宋体" w:eastAsia="宋体" w:cs="宋体"/>
          <w:b/>
          <w:bCs/>
          <w:sz w:val="21"/>
          <w:szCs w:val="21"/>
          <w:lang w:val="en-US" w:eastAsia="zh-CN"/>
        </w:rPr>
        <w:t>文件</w:t>
      </w:r>
      <w:r>
        <w:rPr>
          <w:rFonts w:hint="eastAsia"/>
          <w:b/>
          <w:bCs/>
          <w:sz w:val="20"/>
        </w:rPr>
        <w:t>的递交及相关事宜</w:t>
      </w:r>
      <w:bookmarkEnd w:id="34"/>
      <w:bookmarkEnd w:id="35"/>
      <w:bookmarkEnd w:id="36"/>
      <w:bookmarkEnd w:id="37"/>
      <w:bookmarkEnd w:id="38"/>
      <w:bookmarkEnd w:id="39"/>
    </w:p>
    <w:p w14:paraId="612514B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.1竞包文件递交的截止时间（竞包截止时间，下同）为</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时</w:t>
      </w:r>
      <w:r>
        <w:rPr>
          <w:rFonts w:hint="eastAsia" w:ascii="宋体" w:hAnsi="宋体" w:eastAsia="宋体" w:cs="宋体"/>
          <w:sz w:val="21"/>
          <w:szCs w:val="21"/>
          <w:u w:val="single"/>
        </w:rPr>
        <w:t xml:space="preserve">   </w:t>
      </w:r>
      <w:r>
        <w:rPr>
          <w:rFonts w:hint="eastAsia" w:ascii="宋体" w:hAnsi="宋体" w:eastAsia="宋体" w:cs="宋体"/>
          <w:sz w:val="21"/>
          <w:szCs w:val="21"/>
        </w:rPr>
        <w:t>分，电子发包竞包交易平台为</w:t>
      </w:r>
      <w:r>
        <w:rPr>
          <w:rFonts w:hint="eastAsia" w:ascii="宋体" w:hAnsi="宋体" w:eastAsia="宋体" w:cs="宋体"/>
          <w:sz w:val="21"/>
          <w:szCs w:val="21"/>
          <w:u w:val="single"/>
        </w:rPr>
        <w:t>泰顺县</w:t>
      </w:r>
      <w:r>
        <w:rPr>
          <w:rFonts w:hint="eastAsia" w:ascii="宋体" w:hAnsi="宋体" w:cs="宋体"/>
          <w:sz w:val="21"/>
          <w:szCs w:val="21"/>
          <w:u w:val="single"/>
          <w:lang w:eastAsia="zh-CN"/>
        </w:rPr>
        <w:t>小额工程阳光交易</w:t>
      </w:r>
      <w:r>
        <w:rPr>
          <w:rFonts w:hint="eastAsia" w:ascii="宋体" w:hAnsi="宋体" w:cs="宋体"/>
          <w:sz w:val="21"/>
          <w:szCs w:val="21"/>
          <w:u w:val="single"/>
          <w:lang w:val="en-US" w:eastAsia="zh-CN"/>
        </w:rPr>
        <w:t>系统</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DA7DBC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.2逾期上传的竞包文件，发包（代理）人不予受理。</w:t>
      </w:r>
    </w:p>
    <w:p w14:paraId="7863F34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b/>
          <w:bCs/>
          <w:sz w:val="20"/>
        </w:rPr>
      </w:pPr>
      <w:bookmarkStart w:id="40" w:name="_Toc12348"/>
      <w:bookmarkStart w:id="41" w:name="_Toc31592"/>
      <w:bookmarkStart w:id="42" w:name="_Toc154675028"/>
      <w:bookmarkStart w:id="43" w:name="_Toc452457621"/>
      <w:r>
        <w:rPr>
          <w:rFonts w:hint="eastAsia"/>
          <w:b/>
          <w:bCs/>
          <w:sz w:val="20"/>
        </w:rPr>
        <w:t>6．</w:t>
      </w:r>
      <w:bookmarkEnd w:id="40"/>
      <w:bookmarkEnd w:id="41"/>
      <w:bookmarkEnd w:id="42"/>
      <w:bookmarkEnd w:id="43"/>
      <w:r>
        <w:rPr>
          <w:rFonts w:hint="eastAsia"/>
          <w:b/>
          <w:bCs/>
          <w:sz w:val="20"/>
        </w:rPr>
        <w:t>监督部门</w:t>
      </w:r>
    </w:p>
    <w:p w14:paraId="632E62B7">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b w:val="0"/>
          <w:bCs w:val="0"/>
          <w:sz w:val="20"/>
        </w:rPr>
      </w:pPr>
      <w:r>
        <w:rPr>
          <w:rFonts w:hint="eastAsia"/>
          <w:b w:val="0"/>
          <w:bCs w:val="0"/>
          <w:sz w:val="20"/>
        </w:rPr>
        <w:t>监督部门：</w:t>
      </w:r>
      <w:r>
        <w:rPr>
          <w:rFonts w:hint="eastAsia" w:ascii="宋体" w:hAnsi="宋体" w:eastAsia="宋体" w:cs="宋体"/>
          <w:b w:val="0"/>
          <w:bCs w:val="0"/>
          <w:sz w:val="21"/>
          <w:szCs w:val="21"/>
        </w:rPr>
        <w:t>_________________________</w:t>
      </w:r>
    </w:p>
    <w:p w14:paraId="1628D470">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b w:val="0"/>
          <w:bCs w:val="0"/>
          <w:sz w:val="20"/>
        </w:rPr>
      </w:pPr>
      <w:r>
        <w:rPr>
          <w:rFonts w:hint="eastAsia"/>
          <w:b w:val="0"/>
          <w:bCs w:val="0"/>
          <w:sz w:val="20"/>
        </w:rPr>
        <w:t>地    址：</w:t>
      </w:r>
      <w:r>
        <w:rPr>
          <w:rFonts w:hint="eastAsia" w:ascii="宋体" w:hAnsi="宋体" w:eastAsia="宋体" w:cs="宋体"/>
          <w:b w:val="0"/>
          <w:bCs w:val="0"/>
          <w:sz w:val="21"/>
          <w:szCs w:val="21"/>
        </w:rPr>
        <w:t>_________________________</w:t>
      </w:r>
    </w:p>
    <w:p w14:paraId="7F018F3B">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b w:val="0"/>
          <w:bCs w:val="0"/>
          <w:sz w:val="20"/>
        </w:rPr>
      </w:pPr>
      <w:r>
        <w:rPr>
          <w:rFonts w:hint="eastAsia"/>
          <w:b w:val="0"/>
          <w:bCs w:val="0"/>
          <w:sz w:val="20"/>
        </w:rPr>
        <w:t>邮政编码：</w:t>
      </w:r>
      <w:r>
        <w:rPr>
          <w:rFonts w:hint="eastAsia" w:ascii="宋体" w:hAnsi="宋体" w:eastAsia="宋体" w:cs="宋体"/>
          <w:b w:val="0"/>
          <w:bCs w:val="0"/>
          <w:sz w:val="21"/>
          <w:szCs w:val="21"/>
        </w:rPr>
        <w:t>_________________________</w:t>
      </w:r>
    </w:p>
    <w:p w14:paraId="2F0A8E16">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sz w:val="21"/>
          <w:szCs w:val="21"/>
        </w:rPr>
      </w:pPr>
      <w:r>
        <w:rPr>
          <w:rFonts w:hint="eastAsia"/>
          <w:b w:val="0"/>
          <w:bCs w:val="0"/>
          <w:sz w:val="20"/>
        </w:rPr>
        <w:t>电    话：</w:t>
      </w:r>
      <w:r>
        <w:rPr>
          <w:rFonts w:hint="eastAsia" w:ascii="宋体" w:hAnsi="宋体" w:eastAsia="宋体" w:cs="宋体"/>
          <w:b w:val="0"/>
          <w:bCs w:val="0"/>
          <w:sz w:val="21"/>
          <w:szCs w:val="21"/>
        </w:rPr>
        <w:t>_________________________</w:t>
      </w:r>
    </w:p>
    <w:p w14:paraId="6E5D1F01">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outlineLvl w:val="1"/>
        <w:rPr>
          <w:rFonts w:hint="eastAsia"/>
          <w:b/>
          <w:bCs/>
          <w:sz w:val="20"/>
        </w:rPr>
      </w:pPr>
      <w:bookmarkStart w:id="44" w:name="_Toc9045"/>
      <w:bookmarkStart w:id="45" w:name="_Toc154675029"/>
      <w:bookmarkStart w:id="46" w:name="_Toc18737"/>
      <w:bookmarkStart w:id="47" w:name="_Toc452457622"/>
      <w:r>
        <w:rPr>
          <w:rFonts w:hint="eastAsia"/>
          <w:b/>
          <w:bCs/>
          <w:sz w:val="20"/>
        </w:rPr>
        <w:t>7．联系方式</w:t>
      </w:r>
      <w:bookmarkEnd w:id="44"/>
      <w:bookmarkEnd w:id="45"/>
      <w:bookmarkEnd w:id="46"/>
      <w:bookmarkEnd w:id="47"/>
    </w:p>
    <w:tbl>
      <w:tblPr>
        <w:tblStyle w:val="44"/>
        <w:tblW w:w="8919" w:type="dxa"/>
        <w:tblInd w:w="545" w:type="dxa"/>
        <w:tblLayout w:type="fixed"/>
        <w:tblCellMar>
          <w:top w:w="0" w:type="dxa"/>
          <w:left w:w="108" w:type="dxa"/>
          <w:bottom w:w="0" w:type="dxa"/>
          <w:right w:w="108" w:type="dxa"/>
        </w:tblCellMar>
      </w:tblPr>
      <w:tblGrid>
        <w:gridCol w:w="1337"/>
        <w:gridCol w:w="2934"/>
        <w:gridCol w:w="1973"/>
        <w:gridCol w:w="2675"/>
      </w:tblGrid>
      <w:tr w14:paraId="0700A090">
        <w:tblPrEx>
          <w:tblCellMar>
            <w:top w:w="0" w:type="dxa"/>
            <w:left w:w="108" w:type="dxa"/>
            <w:bottom w:w="0" w:type="dxa"/>
            <w:right w:w="108" w:type="dxa"/>
          </w:tblCellMar>
        </w:tblPrEx>
        <w:trPr>
          <w:trHeight w:val="502" w:hRule="atLeast"/>
        </w:trPr>
        <w:tc>
          <w:tcPr>
            <w:tcW w:w="1337" w:type="dxa"/>
            <w:shd w:val="clear" w:color="auto" w:fill="auto"/>
            <w:vAlign w:val="center"/>
          </w:tcPr>
          <w:p w14:paraId="7F78F081">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发包人</w:t>
            </w:r>
            <w:r>
              <w:rPr>
                <w:rFonts w:hint="eastAsia" w:ascii="宋体" w:hAnsi="宋体" w:eastAsia="宋体" w:cs="宋体"/>
                <w:sz w:val="21"/>
                <w:szCs w:val="21"/>
              </w:rPr>
              <w:t>：</w:t>
            </w:r>
          </w:p>
        </w:tc>
        <w:tc>
          <w:tcPr>
            <w:tcW w:w="2934" w:type="dxa"/>
            <w:shd w:val="clear" w:color="auto" w:fill="auto"/>
            <w:vAlign w:val="center"/>
          </w:tcPr>
          <w:p w14:paraId="6738C3AF">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7083C3A0">
            <w:pPr>
              <w:spacing w:line="360" w:lineRule="auto"/>
              <w:rPr>
                <w:rFonts w:hint="eastAsia" w:ascii="宋体" w:hAnsi="宋体" w:eastAsia="宋体" w:cs="宋体"/>
                <w:sz w:val="21"/>
                <w:szCs w:val="21"/>
              </w:rPr>
            </w:pPr>
            <w:r>
              <w:rPr>
                <w:rFonts w:hint="eastAsia" w:ascii="宋体" w:hAnsi="宋体" w:cs="宋体"/>
                <w:sz w:val="21"/>
                <w:szCs w:val="21"/>
                <w:lang w:eastAsia="zh-CN"/>
              </w:rPr>
              <w:t>中介代理机构</w:t>
            </w:r>
            <w:r>
              <w:rPr>
                <w:rFonts w:hint="eastAsia" w:ascii="宋体" w:hAnsi="宋体" w:eastAsia="宋体" w:cs="宋体"/>
                <w:sz w:val="21"/>
                <w:szCs w:val="21"/>
              </w:rPr>
              <w:t>：</w:t>
            </w:r>
          </w:p>
        </w:tc>
        <w:tc>
          <w:tcPr>
            <w:tcW w:w="2675" w:type="dxa"/>
            <w:shd w:val="clear" w:color="auto" w:fill="auto"/>
            <w:vAlign w:val="center"/>
          </w:tcPr>
          <w:p w14:paraId="612521B3">
            <w:pPr>
              <w:spacing w:line="360" w:lineRule="auto"/>
              <w:rPr>
                <w:rFonts w:hint="eastAsia" w:ascii="宋体" w:hAnsi="宋体" w:eastAsia="宋体" w:cs="宋体"/>
                <w:sz w:val="21"/>
                <w:szCs w:val="21"/>
              </w:rPr>
            </w:pPr>
            <w:bookmarkStart w:id="48" w:name="EBb71e259e9f3d43868fe7a79717f39320"/>
            <w:r>
              <w:rPr>
                <w:rFonts w:hint="eastAsia" w:ascii="宋体" w:hAnsi="宋体" w:eastAsia="宋体" w:cs="宋体"/>
                <w:sz w:val="21"/>
                <w:szCs w:val="21"/>
              </w:rPr>
              <w:t>_______________________</w:t>
            </w:r>
            <w:bookmarkEnd w:id="48"/>
          </w:p>
        </w:tc>
      </w:tr>
      <w:tr w14:paraId="23D9C1E0">
        <w:tblPrEx>
          <w:tblCellMar>
            <w:top w:w="0" w:type="dxa"/>
            <w:left w:w="108" w:type="dxa"/>
            <w:bottom w:w="0" w:type="dxa"/>
            <w:right w:w="108" w:type="dxa"/>
          </w:tblCellMar>
        </w:tblPrEx>
        <w:trPr>
          <w:trHeight w:val="533" w:hRule="atLeast"/>
        </w:trPr>
        <w:tc>
          <w:tcPr>
            <w:tcW w:w="1337" w:type="dxa"/>
            <w:shd w:val="clear" w:color="auto" w:fill="auto"/>
            <w:vAlign w:val="center"/>
          </w:tcPr>
          <w:p w14:paraId="5D265CC3">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2934" w:type="dxa"/>
            <w:shd w:val="clear" w:color="auto" w:fill="auto"/>
            <w:vAlign w:val="center"/>
          </w:tcPr>
          <w:p w14:paraId="240C4558">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7033553B">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2675" w:type="dxa"/>
            <w:shd w:val="clear" w:color="auto" w:fill="auto"/>
            <w:vAlign w:val="center"/>
          </w:tcPr>
          <w:p w14:paraId="777A19F7">
            <w:pPr>
              <w:spacing w:line="360" w:lineRule="auto"/>
              <w:rPr>
                <w:rFonts w:hint="eastAsia" w:ascii="宋体" w:hAnsi="宋体" w:eastAsia="宋体" w:cs="宋体"/>
                <w:sz w:val="21"/>
                <w:szCs w:val="21"/>
              </w:rPr>
            </w:pPr>
            <w:bookmarkStart w:id="49" w:name="EB1bd6b2f4818140c78f53f325234973a3"/>
            <w:r>
              <w:rPr>
                <w:rFonts w:hint="eastAsia" w:ascii="宋体" w:hAnsi="宋体" w:eastAsia="宋体" w:cs="宋体"/>
                <w:sz w:val="21"/>
                <w:szCs w:val="21"/>
              </w:rPr>
              <w:t>_______________________</w:t>
            </w:r>
            <w:bookmarkEnd w:id="49"/>
          </w:p>
        </w:tc>
      </w:tr>
      <w:tr w14:paraId="4327A1B0">
        <w:tblPrEx>
          <w:tblCellMar>
            <w:top w:w="0" w:type="dxa"/>
            <w:left w:w="108" w:type="dxa"/>
            <w:bottom w:w="0" w:type="dxa"/>
            <w:right w:w="108" w:type="dxa"/>
          </w:tblCellMar>
        </w:tblPrEx>
        <w:trPr>
          <w:trHeight w:val="533" w:hRule="atLeast"/>
        </w:trPr>
        <w:tc>
          <w:tcPr>
            <w:tcW w:w="1337" w:type="dxa"/>
            <w:shd w:val="clear" w:color="auto" w:fill="auto"/>
            <w:vAlign w:val="center"/>
          </w:tcPr>
          <w:p w14:paraId="04D7C9DC">
            <w:pPr>
              <w:spacing w:line="360" w:lineRule="auto"/>
              <w:rPr>
                <w:rFonts w:hint="eastAsia" w:ascii="宋体" w:hAnsi="宋体" w:eastAsia="宋体" w:cs="宋体"/>
                <w:sz w:val="21"/>
                <w:szCs w:val="21"/>
              </w:rPr>
            </w:pPr>
            <w:r>
              <w:rPr>
                <w:rFonts w:hint="eastAsia" w:ascii="宋体" w:hAnsi="宋体" w:eastAsia="宋体" w:cs="宋体"/>
                <w:sz w:val="21"/>
                <w:szCs w:val="21"/>
              </w:rPr>
              <w:t>联系人：</w:t>
            </w:r>
          </w:p>
        </w:tc>
        <w:tc>
          <w:tcPr>
            <w:tcW w:w="2934" w:type="dxa"/>
            <w:shd w:val="clear" w:color="auto" w:fill="auto"/>
            <w:vAlign w:val="center"/>
          </w:tcPr>
          <w:p w14:paraId="1A852CC2">
            <w:pPr>
              <w:spacing w:line="360" w:lineRule="auto"/>
              <w:rPr>
                <w:rFonts w:hint="eastAsia" w:ascii="宋体" w:hAnsi="宋体" w:eastAsia="宋体" w:cs="宋体"/>
                <w:sz w:val="21"/>
                <w:szCs w:val="21"/>
              </w:rPr>
            </w:pPr>
            <w:bookmarkStart w:id="50" w:name="EBf638f5815ad54be289cade5c556c3dfc"/>
            <w:r>
              <w:rPr>
                <w:rFonts w:hint="eastAsia" w:ascii="宋体" w:hAnsi="宋体" w:eastAsia="宋体" w:cs="宋体"/>
                <w:sz w:val="21"/>
                <w:szCs w:val="21"/>
              </w:rPr>
              <w:t>_________________________</w:t>
            </w:r>
            <w:bookmarkEnd w:id="50"/>
          </w:p>
        </w:tc>
        <w:tc>
          <w:tcPr>
            <w:tcW w:w="1973" w:type="dxa"/>
            <w:shd w:val="clear" w:color="auto" w:fill="auto"/>
            <w:vAlign w:val="center"/>
          </w:tcPr>
          <w:p w14:paraId="4D8175AA">
            <w:pPr>
              <w:spacing w:line="360" w:lineRule="auto"/>
              <w:rPr>
                <w:rFonts w:hint="eastAsia" w:ascii="宋体" w:hAnsi="宋体" w:eastAsia="宋体" w:cs="宋体"/>
                <w:sz w:val="21"/>
                <w:szCs w:val="21"/>
              </w:rPr>
            </w:pPr>
            <w:r>
              <w:rPr>
                <w:rFonts w:hint="eastAsia" w:ascii="宋体" w:hAnsi="宋体" w:eastAsia="宋体" w:cs="宋体"/>
                <w:sz w:val="21"/>
                <w:szCs w:val="21"/>
              </w:rPr>
              <w:t>联系人：</w:t>
            </w:r>
          </w:p>
        </w:tc>
        <w:tc>
          <w:tcPr>
            <w:tcW w:w="2675" w:type="dxa"/>
            <w:shd w:val="clear" w:color="auto" w:fill="auto"/>
          </w:tcPr>
          <w:p w14:paraId="471E187F">
            <w:pPr>
              <w:spacing w:line="360" w:lineRule="auto"/>
              <w:rPr>
                <w:rFonts w:hint="eastAsia" w:ascii="宋体" w:hAnsi="宋体" w:eastAsia="宋体" w:cs="宋体"/>
                <w:sz w:val="21"/>
                <w:szCs w:val="21"/>
              </w:rPr>
            </w:pPr>
            <w:bookmarkStart w:id="51" w:name="EB1dfeb4e2016f424591ea7b65bba089f2"/>
            <w:r>
              <w:rPr>
                <w:rFonts w:hint="eastAsia" w:ascii="宋体" w:hAnsi="宋体" w:eastAsia="宋体" w:cs="宋体"/>
                <w:sz w:val="21"/>
                <w:szCs w:val="21"/>
              </w:rPr>
              <w:t>_______________________</w:t>
            </w:r>
            <w:bookmarkEnd w:id="51"/>
          </w:p>
        </w:tc>
      </w:tr>
      <w:tr w14:paraId="3C9A7CD6">
        <w:tblPrEx>
          <w:tblCellMar>
            <w:top w:w="0" w:type="dxa"/>
            <w:left w:w="108" w:type="dxa"/>
            <w:bottom w:w="0" w:type="dxa"/>
            <w:right w:w="108" w:type="dxa"/>
          </w:tblCellMar>
        </w:tblPrEx>
        <w:trPr>
          <w:trHeight w:val="502" w:hRule="atLeast"/>
        </w:trPr>
        <w:tc>
          <w:tcPr>
            <w:tcW w:w="1337" w:type="dxa"/>
            <w:shd w:val="clear" w:color="auto" w:fill="auto"/>
            <w:vAlign w:val="center"/>
          </w:tcPr>
          <w:p w14:paraId="45993786">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c>
          <w:tcPr>
            <w:tcW w:w="2934" w:type="dxa"/>
            <w:shd w:val="clear" w:color="auto" w:fill="auto"/>
            <w:vAlign w:val="center"/>
          </w:tcPr>
          <w:p w14:paraId="25C0BA07">
            <w:pPr>
              <w:spacing w:line="360" w:lineRule="auto"/>
              <w:rPr>
                <w:rFonts w:hint="eastAsia" w:ascii="宋体" w:hAnsi="宋体" w:eastAsia="宋体" w:cs="宋体"/>
                <w:sz w:val="21"/>
                <w:szCs w:val="21"/>
              </w:rPr>
            </w:pPr>
            <w:bookmarkStart w:id="52" w:name="EB5f178a4de28e4876a78c352c751eca0f"/>
            <w:r>
              <w:rPr>
                <w:rFonts w:hint="eastAsia" w:ascii="宋体" w:hAnsi="宋体" w:eastAsia="宋体" w:cs="宋体"/>
                <w:sz w:val="21"/>
                <w:szCs w:val="21"/>
              </w:rPr>
              <w:t>_________________________</w:t>
            </w:r>
            <w:bookmarkEnd w:id="52"/>
          </w:p>
        </w:tc>
        <w:tc>
          <w:tcPr>
            <w:tcW w:w="1973" w:type="dxa"/>
            <w:shd w:val="clear" w:color="auto" w:fill="auto"/>
            <w:vAlign w:val="center"/>
          </w:tcPr>
          <w:p w14:paraId="70E8FE5E">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c>
          <w:tcPr>
            <w:tcW w:w="2675" w:type="dxa"/>
            <w:shd w:val="clear" w:color="auto" w:fill="auto"/>
          </w:tcPr>
          <w:p w14:paraId="24B0FE72">
            <w:pPr>
              <w:spacing w:line="360" w:lineRule="auto"/>
              <w:rPr>
                <w:rFonts w:hint="eastAsia" w:ascii="宋体" w:hAnsi="宋体" w:eastAsia="宋体" w:cs="宋体"/>
                <w:sz w:val="21"/>
                <w:szCs w:val="21"/>
              </w:rPr>
            </w:pPr>
            <w:bookmarkStart w:id="53" w:name="EBbd1af052ff5b4a87b0431232a5ebc821"/>
            <w:r>
              <w:rPr>
                <w:rFonts w:hint="eastAsia" w:ascii="宋体" w:hAnsi="宋体" w:eastAsia="宋体" w:cs="宋体"/>
                <w:sz w:val="21"/>
                <w:szCs w:val="21"/>
              </w:rPr>
              <w:t>_______________________</w:t>
            </w:r>
            <w:bookmarkEnd w:id="53"/>
          </w:p>
        </w:tc>
      </w:tr>
      <w:tr w14:paraId="54F7FB9F">
        <w:tblPrEx>
          <w:tblCellMar>
            <w:top w:w="0" w:type="dxa"/>
            <w:left w:w="108" w:type="dxa"/>
            <w:bottom w:w="0" w:type="dxa"/>
            <w:right w:w="108" w:type="dxa"/>
          </w:tblCellMar>
        </w:tblPrEx>
        <w:trPr>
          <w:trHeight w:val="502" w:hRule="atLeast"/>
        </w:trPr>
        <w:tc>
          <w:tcPr>
            <w:tcW w:w="1337" w:type="dxa"/>
            <w:shd w:val="clear" w:color="auto" w:fill="auto"/>
            <w:vAlign w:val="center"/>
          </w:tcPr>
          <w:p w14:paraId="3A7BD76D">
            <w:pPr>
              <w:spacing w:line="360" w:lineRule="auto"/>
              <w:rPr>
                <w:rFonts w:hint="eastAsia" w:ascii="宋体" w:hAnsi="宋体" w:eastAsia="宋体" w:cs="宋体"/>
                <w:sz w:val="21"/>
                <w:szCs w:val="21"/>
              </w:rPr>
            </w:pPr>
            <w:r>
              <w:rPr>
                <w:rFonts w:hint="eastAsia" w:ascii="宋体" w:hAnsi="宋体" w:eastAsia="宋体" w:cs="宋体"/>
                <w:sz w:val="21"/>
                <w:szCs w:val="21"/>
              </w:rPr>
              <w:t>电子邮件：</w:t>
            </w:r>
          </w:p>
        </w:tc>
        <w:tc>
          <w:tcPr>
            <w:tcW w:w="2934" w:type="dxa"/>
            <w:shd w:val="clear" w:color="auto" w:fill="auto"/>
            <w:vAlign w:val="center"/>
          </w:tcPr>
          <w:p w14:paraId="394256BA">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798E1F68">
            <w:pPr>
              <w:spacing w:line="360" w:lineRule="auto"/>
              <w:rPr>
                <w:rFonts w:hint="eastAsia" w:ascii="宋体" w:hAnsi="宋体" w:eastAsia="宋体" w:cs="宋体"/>
                <w:sz w:val="21"/>
                <w:szCs w:val="21"/>
              </w:rPr>
            </w:pPr>
            <w:r>
              <w:rPr>
                <w:rFonts w:hint="eastAsia" w:ascii="宋体" w:hAnsi="宋体" w:eastAsia="宋体" w:cs="宋体"/>
                <w:sz w:val="21"/>
                <w:szCs w:val="21"/>
              </w:rPr>
              <w:t>电子邮件：</w:t>
            </w:r>
          </w:p>
        </w:tc>
        <w:tc>
          <w:tcPr>
            <w:tcW w:w="2675" w:type="dxa"/>
            <w:shd w:val="clear" w:color="auto" w:fill="auto"/>
          </w:tcPr>
          <w:p w14:paraId="24F64B4A">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454B6FD8">
        <w:tblPrEx>
          <w:tblCellMar>
            <w:top w:w="0" w:type="dxa"/>
            <w:left w:w="108" w:type="dxa"/>
            <w:bottom w:w="0" w:type="dxa"/>
            <w:right w:w="108" w:type="dxa"/>
          </w:tblCellMar>
        </w:tblPrEx>
        <w:trPr>
          <w:trHeight w:val="566" w:hRule="atLeast"/>
        </w:trPr>
        <w:tc>
          <w:tcPr>
            <w:tcW w:w="1337" w:type="dxa"/>
            <w:shd w:val="clear" w:color="auto" w:fill="auto"/>
            <w:vAlign w:val="center"/>
          </w:tcPr>
          <w:p w14:paraId="2E3124A3">
            <w:pPr>
              <w:spacing w:line="360" w:lineRule="auto"/>
              <w:rPr>
                <w:rFonts w:hint="eastAsia" w:ascii="宋体" w:hAnsi="宋体" w:eastAsia="宋体" w:cs="宋体"/>
                <w:sz w:val="21"/>
                <w:szCs w:val="21"/>
              </w:rPr>
            </w:pPr>
            <w:r>
              <w:rPr>
                <w:rFonts w:hint="eastAsia" w:ascii="宋体" w:hAnsi="宋体" w:eastAsia="宋体" w:cs="宋体"/>
                <w:sz w:val="21"/>
                <w:szCs w:val="21"/>
              </w:rPr>
              <w:t>日期：</w:t>
            </w:r>
          </w:p>
        </w:tc>
        <w:tc>
          <w:tcPr>
            <w:tcW w:w="7582" w:type="dxa"/>
            <w:gridSpan w:val="3"/>
            <w:shd w:val="clear" w:color="auto" w:fill="auto"/>
            <w:vAlign w:val="center"/>
          </w:tcPr>
          <w:p w14:paraId="49798756">
            <w:pPr>
              <w:spacing w:line="360" w:lineRule="auto"/>
              <w:rPr>
                <w:rFonts w:hint="eastAsia" w:ascii="宋体" w:hAnsi="宋体" w:eastAsia="宋体" w:cs="宋体"/>
                <w:sz w:val="21"/>
                <w:szCs w:val="21"/>
              </w:rPr>
            </w:pPr>
            <w:bookmarkStart w:id="54" w:name="EBf0cb06be895e42419fd9bf80b41e593c"/>
            <w:r>
              <w:rPr>
                <w:rFonts w:hint="eastAsia" w:ascii="宋体" w:hAnsi="宋体" w:eastAsia="宋体" w:cs="宋体"/>
                <w:sz w:val="21"/>
                <w:szCs w:val="21"/>
              </w:rPr>
              <w:t>_________________________</w:t>
            </w:r>
            <w:bookmarkEnd w:id="54"/>
          </w:p>
        </w:tc>
      </w:tr>
    </w:tbl>
    <w:p w14:paraId="748755BE">
      <w:pPr>
        <w:spacing w:line="360" w:lineRule="auto"/>
        <w:ind w:firstLine="420" w:firstLineChars="200"/>
        <w:rPr>
          <w:szCs w:val="21"/>
        </w:rPr>
      </w:pPr>
    </w:p>
    <w:p w14:paraId="6C26FA1A">
      <w:pPr>
        <w:widowControl/>
        <w:spacing w:line="360" w:lineRule="auto"/>
        <w:jc w:val="left"/>
        <w:rPr>
          <w:szCs w:val="21"/>
        </w:rPr>
      </w:pPr>
      <w:r>
        <w:rPr>
          <w:szCs w:val="21"/>
        </w:rPr>
        <w:br w:type="page"/>
      </w:r>
    </w:p>
    <w:p w14:paraId="154CD7B9">
      <w:pPr>
        <w:spacing w:line="360" w:lineRule="auto"/>
        <w:jc w:val="center"/>
        <w:outlineLvl w:val="0"/>
        <w:rPr>
          <w:rFonts w:hint="default" w:eastAsia="黑体"/>
          <w:sz w:val="32"/>
          <w:szCs w:val="32"/>
          <w:lang w:val="en-US" w:eastAsia="zh-CN"/>
        </w:rPr>
      </w:pPr>
      <w:bookmarkStart w:id="55" w:name="_Toc18537"/>
      <w:bookmarkStart w:id="56" w:name="_Toc12496"/>
      <w:bookmarkStart w:id="57" w:name="_Toc2119"/>
      <w:r>
        <w:rPr>
          <w:rFonts w:hint="eastAsia" w:eastAsia="黑体"/>
          <w:sz w:val="32"/>
          <w:szCs w:val="32"/>
        </w:rPr>
        <w:t xml:space="preserve">□第一章 </w:t>
      </w:r>
      <w:r>
        <w:rPr>
          <w:rFonts w:hint="eastAsia" w:eastAsia="黑体"/>
          <w:sz w:val="32"/>
          <w:szCs w:val="32"/>
          <w:lang w:val="en-US" w:eastAsia="zh-CN"/>
        </w:rPr>
        <w:t>竞包邀请书</w:t>
      </w:r>
      <w:bookmarkEnd w:id="55"/>
      <w:bookmarkEnd w:id="56"/>
      <w:bookmarkEnd w:id="57"/>
    </w:p>
    <w:p w14:paraId="047B3CE8">
      <w:pPr>
        <w:spacing w:line="360" w:lineRule="auto"/>
        <w:ind w:firstLine="562" w:firstLineChars="200"/>
        <w:jc w:val="center"/>
        <w:rPr>
          <w:rFonts w:hint="eastAsia" w:eastAsia="黑体"/>
          <w:b/>
          <w:sz w:val="28"/>
          <w:szCs w:val="28"/>
          <w:lang w:val="en-US" w:eastAsia="zh-CN"/>
        </w:rPr>
      </w:pPr>
      <w:r>
        <w:rPr>
          <w:rFonts w:eastAsia="黑体"/>
          <w:b/>
          <w:sz w:val="28"/>
          <w:szCs w:val="28"/>
        </w:rPr>
        <w:t>_____________________</w:t>
      </w:r>
      <w:r>
        <w:rPr>
          <w:rFonts w:hint="eastAsia" w:eastAsia="黑体"/>
          <w:b/>
          <w:sz w:val="28"/>
          <w:szCs w:val="28"/>
        </w:rPr>
        <w:t>（项目名称）</w:t>
      </w:r>
      <w:r>
        <w:rPr>
          <w:rFonts w:hint="eastAsia" w:eastAsia="黑体"/>
          <w:b/>
          <w:sz w:val="28"/>
          <w:szCs w:val="28"/>
          <w:lang w:val="en-US" w:eastAsia="zh-CN"/>
        </w:rPr>
        <w:t>邀请发包</w:t>
      </w:r>
    </w:p>
    <w:p w14:paraId="3372D81B">
      <w:pPr>
        <w:pStyle w:val="31"/>
        <w:rPr>
          <w:rFonts w:hint="default"/>
          <w:lang w:val="en-US" w:eastAsia="zh-CN"/>
        </w:rPr>
      </w:pPr>
      <w:r>
        <w:rPr>
          <w:rFonts w:hint="eastAsia" w:eastAsia="黑体"/>
          <w:b/>
          <w:sz w:val="28"/>
          <w:szCs w:val="28"/>
          <w:lang w:val="en-US" w:eastAsia="zh-CN"/>
        </w:rPr>
        <w:t>竞包邀请书</w:t>
      </w:r>
    </w:p>
    <w:p w14:paraId="2CB3561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（邀请单位名称）   </w:t>
      </w:r>
      <w:r>
        <w:rPr>
          <w:rFonts w:hint="eastAsia" w:ascii="宋体" w:hAnsi="宋体" w:eastAsia="宋体" w:cs="宋体"/>
          <w:sz w:val="21"/>
          <w:szCs w:val="21"/>
        </w:rPr>
        <w:t>：</w:t>
      </w:r>
    </w:p>
    <w:p w14:paraId="16A8436D">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val="0"/>
          <w:sz w:val="21"/>
          <w:szCs w:val="21"/>
        </w:rPr>
      </w:pPr>
      <w:bookmarkStart w:id="58" w:name="_Toc2629"/>
      <w:bookmarkStart w:id="59" w:name="_Toc13044"/>
      <w:r>
        <w:rPr>
          <w:rFonts w:hint="eastAsia" w:ascii="宋体" w:hAnsi="宋体" w:eastAsia="宋体" w:cs="宋体"/>
          <w:b/>
          <w:bCs w:val="0"/>
          <w:sz w:val="21"/>
          <w:szCs w:val="21"/>
        </w:rPr>
        <w:t>1．</w:t>
      </w:r>
      <w:r>
        <w:rPr>
          <w:rFonts w:hint="eastAsia" w:ascii="宋体" w:hAnsi="宋体" w:eastAsia="宋体" w:cs="宋体"/>
          <w:b/>
          <w:bCs w:val="0"/>
          <w:sz w:val="21"/>
          <w:szCs w:val="21"/>
          <w:lang w:val="en-US" w:eastAsia="zh-CN"/>
        </w:rPr>
        <w:t>发包</w:t>
      </w:r>
      <w:r>
        <w:rPr>
          <w:rFonts w:hint="eastAsia" w:ascii="宋体" w:hAnsi="宋体" w:eastAsia="宋体" w:cs="宋体"/>
          <w:b/>
          <w:bCs w:val="0"/>
          <w:sz w:val="21"/>
          <w:szCs w:val="21"/>
        </w:rPr>
        <w:t>条件</w:t>
      </w:r>
      <w:bookmarkEnd w:id="58"/>
      <w:bookmarkEnd w:id="59"/>
    </w:p>
    <w:p w14:paraId="0AE910D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val="en-US" w:eastAsia="zh-CN"/>
        </w:rPr>
        <w:t>发包</w:t>
      </w:r>
      <w:r>
        <w:rPr>
          <w:rFonts w:hint="eastAsia" w:ascii="宋体" w:hAnsi="宋体" w:eastAsia="宋体" w:cs="宋体"/>
          <w:sz w:val="21"/>
          <w:szCs w:val="21"/>
        </w:rPr>
        <w:t>项目_____________（项目名称）已由____________（项目审批、核准或备案机关名称）以_____________（批文名称及编号）批准建设，施工图设计已由______________（批准机关名称）以______________（批文名称及编号）批准，项目业主为______________，建设资金来自____（资金来源），资金已落实，</w:t>
      </w:r>
      <w:r>
        <w:rPr>
          <w:rFonts w:hint="eastAsia" w:ascii="宋体" w:hAnsi="宋体" w:eastAsia="宋体" w:cs="宋体"/>
          <w:sz w:val="21"/>
          <w:szCs w:val="21"/>
          <w:lang w:eastAsia="zh-CN"/>
        </w:rPr>
        <w:t>发包人</w:t>
      </w:r>
      <w:r>
        <w:rPr>
          <w:rFonts w:hint="eastAsia" w:ascii="宋体" w:hAnsi="宋体" w:eastAsia="宋体" w:cs="宋体"/>
          <w:sz w:val="21"/>
          <w:szCs w:val="21"/>
        </w:rPr>
        <w:t>为_________________，</w:t>
      </w:r>
      <w:r>
        <w:rPr>
          <w:rFonts w:hint="eastAsia" w:ascii="宋体" w:hAnsi="宋体" w:cs="宋体"/>
          <w:sz w:val="21"/>
          <w:szCs w:val="21"/>
          <w:lang w:eastAsia="zh-CN"/>
        </w:rPr>
        <w:t>中介代理机构</w:t>
      </w:r>
      <w:r>
        <w:rPr>
          <w:rFonts w:hint="eastAsia" w:ascii="宋体" w:hAnsi="宋体" w:eastAsia="宋体" w:cs="宋体"/>
          <w:sz w:val="21"/>
          <w:szCs w:val="21"/>
        </w:rPr>
        <w:t>为_________________。项目已具备发包条件，现邀请你单位参加该项目的</w:t>
      </w:r>
      <w:r>
        <w:rPr>
          <w:rFonts w:hint="eastAsia" w:ascii="宋体" w:hAnsi="宋体" w:eastAsia="宋体" w:cs="宋体"/>
          <w:sz w:val="21"/>
          <w:szCs w:val="21"/>
          <w:u w:val="single"/>
        </w:rPr>
        <w:t xml:space="preserve">  （标段名称） </w:t>
      </w:r>
      <w:r>
        <w:rPr>
          <w:rFonts w:hint="eastAsia" w:ascii="宋体" w:hAnsi="宋体" w:eastAsia="宋体" w:cs="宋体"/>
          <w:sz w:val="21"/>
          <w:szCs w:val="21"/>
        </w:rPr>
        <w:t>施工的竞包。</w:t>
      </w:r>
    </w:p>
    <w:p w14:paraId="455EB795">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val="0"/>
          <w:sz w:val="21"/>
          <w:szCs w:val="21"/>
        </w:rPr>
      </w:pPr>
      <w:bookmarkStart w:id="60" w:name="_Toc15794"/>
      <w:bookmarkStart w:id="61" w:name="_Toc27863"/>
      <w:r>
        <w:rPr>
          <w:rFonts w:hint="eastAsia" w:ascii="宋体" w:hAnsi="宋体" w:eastAsia="宋体" w:cs="宋体"/>
          <w:b/>
          <w:bCs w:val="0"/>
          <w:sz w:val="21"/>
          <w:szCs w:val="21"/>
        </w:rPr>
        <w:t>2．项目概况与</w:t>
      </w:r>
      <w:r>
        <w:rPr>
          <w:rFonts w:hint="eastAsia" w:ascii="宋体" w:hAnsi="宋体" w:eastAsia="宋体" w:cs="宋体"/>
          <w:b/>
          <w:bCs w:val="0"/>
          <w:sz w:val="21"/>
          <w:szCs w:val="21"/>
          <w:lang w:val="en-US" w:eastAsia="zh-CN"/>
        </w:rPr>
        <w:t>发包</w:t>
      </w:r>
      <w:r>
        <w:rPr>
          <w:rFonts w:hint="eastAsia" w:ascii="宋体" w:hAnsi="宋体" w:eastAsia="宋体" w:cs="宋体"/>
          <w:b/>
          <w:bCs w:val="0"/>
          <w:sz w:val="21"/>
          <w:szCs w:val="21"/>
        </w:rPr>
        <w:t>范围</w:t>
      </w:r>
      <w:bookmarkEnd w:id="60"/>
      <w:bookmarkEnd w:id="61"/>
    </w:p>
    <w:p w14:paraId="67DA78F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2.1项目概况：</w:t>
      </w:r>
      <w:r>
        <w:rPr>
          <w:rFonts w:hint="eastAsia" w:ascii="宋体" w:hAnsi="宋体" w:eastAsia="宋体" w:cs="宋体"/>
          <w:sz w:val="21"/>
          <w:szCs w:val="21"/>
          <w:u w:val="single"/>
        </w:rPr>
        <w:t>（说明本次</w:t>
      </w:r>
      <w:r>
        <w:rPr>
          <w:rFonts w:hint="eastAsia" w:ascii="宋体" w:hAnsi="宋体" w:cs="宋体"/>
          <w:sz w:val="21"/>
          <w:szCs w:val="21"/>
          <w:u w:val="single"/>
          <w:lang w:eastAsia="zh-CN"/>
        </w:rPr>
        <w:t>发包</w:t>
      </w:r>
      <w:r>
        <w:rPr>
          <w:rFonts w:hint="eastAsia" w:ascii="宋体" w:hAnsi="宋体" w:eastAsia="宋体" w:cs="宋体"/>
          <w:sz w:val="21"/>
          <w:szCs w:val="21"/>
          <w:u w:val="single"/>
        </w:rPr>
        <w:t xml:space="preserve">项目的建设地点、规模等）                         </w:t>
      </w:r>
    </w:p>
    <w:p w14:paraId="717A4E5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2.2技术标准：</w:t>
      </w:r>
      <w:r>
        <w:rPr>
          <w:rFonts w:hint="eastAsia" w:ascii="宋体" w:hAnsi="宋体" w:eastAsia="宋体" w:cs="宋体"/>
          <w:sz w:val="21"/>
          <w:szCs w:val="21"/>
          <w:u w:val="single"/>
        </w:rPr>
        <w:t xml:space="preserve">                                                               </w:t>
      </w:r>
    </w:p>
    <w:p w14:paraId="1472F8B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发包</w:t>
      </w:r>
      <w:r>
        <w:rPr>
          <w:rFonts w:hint="eastAsia" w:ascii="宋体" w:hAnsi="宋体" w:eastAsia="宋体" w:cs="宋体"/>
          <w:sz w:val="21"/>
          <w:szCs w:val="21"/>
        </w:rPr>
        <w:t>范围及标段划分：</w:t>
      </w:r>
      <w:r>
        <w:rPr>
          <w:rFonts w:hint="eastAsia" w:ascii="宋体" w:hAnsi="宋体" w:eastAsia="宋体" w:cs="宋体"/>
          <w:sz w:val="21"/>
          <w:szCs w:val="21"/>
          <w:u w:val="single"/>
        </w:rPr>
        <w:t>（包括</w:t>
      </w:r>
      <w:r>
        <w:rPr>
          <w:rFonts w:hint="eastAsia" w:ascii="宋体" w:hAnsi="宋体" w:cs="宋体"/>
          <w:sz w:val="21"/>
          <w:szCs w:val="21"/>
          <w:u w:val="single"/>
          <w:lang w:val="en-US" w:eastAsia="zh-CN"/>
        </w:rPr>
        <w:t>发包</w:t>
      </w:r>
      <w:r>
        <w:rPr>
          <w:rFonts w:hint="eastAsia" w:ascii="宋体" w:hAnsi="宋体" w:eastAsia="宋体" w:cs="宋体"/>
          <w:sz w:val="21"/>
          <w:szCs w:val="21"/>
          <w:u w:val="single"/>
        </w:rPr>
        <w:t xml:space="preserve">范围、标段划分、概算造价、主要结构形式等） </w:t>
      </w:r>
    </w:p>
    <w:p w14:paraId="00FB01D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2.4计划工期：</w:t>
      </w:r>
      <w:r>
        <w:rPr>
          <w:rFonts w:hint="eastAsia" w:ascii="宋体" w:hAnsi="宋体" w:eastAsia="宋体" w:cs="宋体"/>
          <w:sz w:val="21"/>
          <w:szCs w:val="21"/>
          <w:u w:val="single"/>
        </w:rPr>
        <w:t xml:space="preserve">                                                               </w:t>
      </w:r>
    </w:p>
    <w:p w14:paraId="2122CB4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2.5是否属于政府采购工程: □是  □否</w:t>
      </w:r>
    </w:p>
    <w:p w14:paraId="4692330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2.6是否专门面向中小企业预留:□是  □否 </w:t>
      </w:r>
      <w:r>
        <w:rPr>
          <w:rFonts w:hint="eastAsia" w:ascii="宋体" w:hAnsi="宋体" w:eastAsia="宋体" w:cs="宋体"/>
          <w:sz w:val="21"/>
          <w:szCs w:val="21"/>
          <w:u w:val="single"/>
        </w:rPr>
        <w:t>（不专门面向中小企业采购的原因及适用条款）</w:t>
      </w:r>
    </w:p>
    <w:p w14:paraId="28C2B5A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2.7专门面向中小企业预留的实施方式:</w:t>
      </w:r>
    </w:p>
    <w:p w14:paraId="3CBBAD0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□本标段整体面向中小企业；</w:t>
      </w:r>
    </w:p>
    <w:p w14:paraId="2B2B180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□本标段联合体形式面向中小企业，以联合体形式参加本次</w:t>
      </w:r>
      <w:r>
        <w:rPr>
          <w:rFonts w:hint="eastAsia" w:ascii="宋体" w:hAnsi="宋体" w:cs="宋体"/>
          <w:sz w:val="21"/>
          <w:szCs w:val="21"/>
          <w:lang w:eastAsia="zh-CN"/>
        </w:rPr>
        <w:t>竞包</w:t>
      </w:r>
      <w:r>
        <w:rPr>
          <w:rFonts w:hint="eastAsia" w:ascii="宋体" w:hAnsi="宋体" w:eastAsia="宋体" w:cs="宋体"/>
          <w:sz w:val="21"/>
          <w:szCs w:val="21"/>
        </w:rPr>
        <w:t>的，联合体中中小企业承担的合同份额需达到（不低于40%）以上。</w:t>
      </w:r>
    </w:p>
    <w:p w14:paraId="5CF8854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highlight w:val="none"/>
        </w:rPr>
        <w:t>2.</w:t>
      </w:r>
      <w:r>
        <w:rPr>
          <w:rFonts w:hint="eastAsia" w:ascii="宋体" w:hAnsi="宋体"/>
          <w:highlight w:val="none"/>
          <w:lang w:val="en-US" w:eastAsia="zh-CN"/>
        </w:rPr>
        <w:t>8</w:t>
      </w:r>
      <w:r>
        <w:rPr>
          <w:rFonts w:hint="eastAsia" w:ascii="宋体" w:hAnsi="宋体"/>
          <w:highlight w:val="none"/>
        </w:rPr>
        <w:t>本次发包控制价</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u w:val="none"/>
        </w:rPr>
        <w:t xml:space="preserve">万元， </w:t>
      </w:r>
      <w:r>
        <w:rPr>
          <w:rFonts w:hint="eastAsia" w:ascii="宋体" w:hAnsi="宋体" w:cs="宋体"/>
          <w:szCs w:val="21"/>
          <w:highlight w:val="none"/>
        </w:rPr>
        <w:t>□发包人确定下浮率</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rPr>
        <w:t>。</w:t>
      </w:r>
    </w:p>
    <w:p w14:paraId="5923D444">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val="0"/>
          <w:sz w:val="21"/>
          <w:szCs w:val="21"/>
        </w:rPr>
      </w:pPr>
      <w:bookmarkStart w:id="62" w:name="_Toc23131"/>
      <w:bookmarkStart w:id="63" w:name="_Toc30052"/>
      <w:r>
        <w:rPr>
          <w:rFonts w:hint="eastAsia" w:ascii="宋体" w:hAnsi="宋体" w:eastAsia="宋体" w:cs="宋体"/>
          <w:b/>
          <w:bCs w:val="0"/>
          <w:sz w:val="21"/>
          <w:szCs w:val="21"/>
        </w:rPr>
        <w:t>3．</w:t>
      </w:r>
      <w:r>
        <w:rPr>
          <w:rFonts w:hint="eastAsia" w:ascii="宋体" w:hAnsi="宋体" w:eastAsia="宋体" w:cs="宋体"/>
          <w:b/>
          <w:bCs w:val="0"/>
          <w:sz w:val="21"/>
          <w:szCs w:val="21"/>
          <w:lang w:eastAsia="zh-CN"/>
        </w:rPr>
        <w:t>竞包人</w:t>
      </w:r>
      <w:r>
        <w:rPr>
          <w:rFonts w:hint="eastAsia" w:ascii="宋体" w:hAnsi="宋体" w:eastAsia="宋体" w:cs="宋体"/>
          <w:b/>
          <w:bCs w:val="0"/>
          <w:sz w:val="21"/>
          <w:szCs w:val="21"/>
        </w:rPr>
        <w:t>资格要求</w:t>
      </w:r>
      <w:bookmarkEnd w:id="62"/>
      <w:bookmarkEnd w:id="63"/>
    </w:p>
    <w:p w14:paraId="5E4657C4">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 本次</w:t>
      </w:r>
      <w:r>
        <w:rPr>
          <w:rFonts w:hint="eastAsia" w:ascii="宋体" w:hAnsi="宋体" w:eastAsia="宋体" w:cs="宋体"/>
          <w:sz w:val="21"/>
          <w:szCs w:val="21"/>
          <w:lang w:val="en-US" w:eastAsia="zh-CN"/>
        </w:rPr>
        <w:t>发包</w:t>
      </w:r>
      <w:r>
        <w:rPr>
          <w:rFonts w:hint="eastAsia" w:ascii="宋体" w:hAnsi="宋体" w:eastAsia="宋体" w:cs="宋体"/>
          <w:sz w:val="21"/>
          <w:szCs w:val="21"/>
        </w:rPr>
        <w:t>要求</w:t>
      </w:r>
      <w:r>
        <w:rPr>
          <w:rFonts w:hint="eastAsia" w:ascii="宋体" w:hAnsi="宋体" w:eastAsia="宋体" w:cs="宋体"/>
          <w:sz w:val="21"/>
          <w:szCs w:val="21"/>
          <w:lang w:eastAsia="zh-CN"/>
        </w:rPr>
        <w:t>竞包人</w:t>
      </w:r>
      <w:r>
        <w:rPr>
          <w:rFonts w:hint="eastAsia" w:ascii="宋体" w:hAnsi="宋体" w:eastAsia="宋体" w:cs="宋体"/>
          <w:sz w:val="21"/>
          <w:szCs w:val="21"/>
        </w:rPr>
        <w:t>须具备_______________资质，________________业绩，并在人员、设备、资金等方面具有相应的施工能力。</w:t>
      </w:r>
    </w:p>
    <w:p w14:paraId="75AB2C3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具有公路工程施工总承包特级、一级资质及交通工程专业承包资质的</w:t>
      </w:r>
      <w:r>
        <w:rPr>
          <w:rFonts w:hint="eastAsia" w:ascii="宋体" w:hAnsi="宋体" w:eastAsia="宋体" w:cs="宋体"/>
          <w:sz w:val="21"/>
          <w:szCs w:val="21"/>
          <w:lang w:eastAsia="zh-CN"/>
        </w:rPr>
        <w:t>竞包人</w:t>
      </w:r>
      <w:r>
        <w:rPr>
          <w:rFonts w:hint="eastAsia" w:ascii="宋体" w:hAnsi="宋体" w:eastAsia="宋体" w:cs="宋体"/>
          <w:sz w:val="21"/>
          <w:szCs w:val="21"/>
        </w:rPr>
        <w:t>应进入交通运输部“全国公路建设市场信用信息管理系统（https://glxy.mot.gov.cn）”中的公路工程施工资质企业名录，且</w:t>
      </w:r>
      <w:r>
        <w:rPr>
          <w:rFonts w:hint="eastAsia" w:ascii="宋体" w:hAnsi="宋体" w:eastAsia="宋体" w:cs="宋体"/>
          <w:sz w:val="21"/>
          <w:szCs w:val="21"/>
          <w:lang w:eastAsia="zh-CN"/>
        </w:rPr>
        <w:t>竞包人</w:t>
      </w:r>
      <w:r>
        <w:rPr>
          <w:rFonts w:hint="eastAsia" w:ascii="宋体" w:hAnsi="宋体" w:eastAsia="宋体" w:cs="宋体"/>
          <w:sz w:val="21"/>
          <w:szCs w:val="21"/>
        </w:rPr>
        <w:t>名称和资质与该名录中的相应企业名称和资质完全一致。</w:t>
      </w:r>
    </w:p>
    <w:p w14:paraId="5DAB50E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□3.2 你单位</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（可以或不可以）组成联合体</w:t>
      </w:r>
      <w:r>
        <w:rPr>
          <w:rFonts w:hint="eastAsia" w:ascii="宋体" w:hAnsi="宋体" w:cs="宋体"/>
          <w:sz w:val="21"/>
          <w:szCs w:val="21"/>
          <w:lang w:eastAsia="zh-CN"/>
        </w:rPr>
        <w:t>竞包</w:t>
      </w:r>
      <w:r>
        <w:rPr>
          <w:rFonts w:hint="eastAsia" w:ascii="宋体" w:hAnsi="宋体" w:eastAsia="宋体" w:cs="宋体"/>
          <w:sz w:val="21"/>
          <w:szCs w:val="21"/>
        </w:rPr>
        <w:t>。联合体</w:t>
      </w:r>
      <w:r>
        <w:rPr>
          <w:rFonts w:hint="eastAsia" w:ascii="宋体" w:hAnsi="宋体" w:cs="宋体"/>
          <w:sz w:val="21"/>
          <w:szCs w:val="21"/>
          <w:lang w:eastAsia="zh-CN"/>
        </w:rPr>
        <w:t>竞包</w:t>
      </w:r>
      <w:r>
        <w:rPr>
          <w:rFonts w:hint="eastAsia" w:ascii="宋体" w:hAnsi="宋体" w:eastAsia="宋体" w:cs="宋体"/>
          <w:sz w:val="21"/>
          <w:szCs w:val="21"/>
        </w:rPr>
        <w:t>的，应满足下列要求：_____________________________________。</w:t>
      </w:r>
    </w:p>
    <w:p w14:paraId="607EDE5C">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sz w:val="20"/>
        </w:rPr>
      </w:pPr>
      <w:r>
        <w:rPr>
          <w:rFonts w:hint="eastAsia" w:ascii="宋体" w:hAnsi="宋体" w:eastAsia="宋体" w:cs="宋体"/>
          <w:b/>
          <w:bCs/>
          <w:sz w:val="20"/>
        </w:rPr>
        <w:t>4．</w:t>
      </w:r>
      <w:r>
        <w:rPr>
          <w:rFonts w:hint="eastAsia" w:ascii="宋体" w:hAnsi="宋体" w:eastAsia="宋体" w:cs="宋体"/>
          <w:b/>
          <w:bCs/>
          <w:sz w:val="20"/>
          <w:lang w:eastAsia="zh-CN"/>
        </w:rPr>
        <w:t>发包文件</w:t>
      </w:r>
      <w:r>
        <w:rPr>
          <w:rFonts w:hint="eastAsia" w:ascii="宋体" w:hAnsi="宋体" w:eastAsia="宋体" w:cs="宋体"/>
          <w:b/>
          <w:bCs/>
          <w:sz w:val="20"/>
        </w:rPr>
        <w:t>的获取</w:t>
      </w:r>
    </w:p>
    <w:p w14:paraId="2CB2EC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.1本项目发包文件（含图纸）和补充（答疑、澄清）、修改文件以网上下载方式发放于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（泰顺县</w:t>
      </w:r>
      <w:r>
        <w:rPr>
          <w:rFonts w:hint="eastAsia" w:ascii="宋体" w:hAnsi="宋体" w:cs="宋体"/>
          <w:snapToGrid w:val="0"/>
          <w:sz w:val="21"/>
          <w:szCs w:val="21"/>
          <w:lang w:eastAsia="zh-CN"/>
        </w:rPr>
        <w:t>小额工程阳光交易</w:t>
      </w:r>
      <w:r>
        <w:rPr>
          <w:rFonts w:hint="eastAsia" w:ascii="宋体" w:hAnsi="宋体" w:cs="宋体"/>
          <w:snapToGrid w:val="0"/>
          <w:sz w:val="21"/>
          <w:szCs w:val="21"/>
          <w:lang w:val="en-US" w:eastAsia="zh-CN"/>
        </w:rPr>
        <w:t>网</w:t>
      </w:r>
      <w:r>
        <w:rPr>
          <w:rFonts w:hint="eastAsia" w:ascii="宋体" w:hAnsi="宋体" w:eastAsia="宋体" w:cs="宋体"/>
          <w:snapToGrid w:val="0"/>
          <w:sz w:val="21"/>
          <w:szCs w:val="21"/>
        </w:rPr>
        <w:t>）。</w:t>
      </w:r>
    </w:p>
    <w:p w14:paraId="7640020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.2发包文件下载网址：潜在竞包人通过CA锁在登录</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（泰顺县</w:t>
      </w:r>
      <w:r>
        <w:rPr>
          <w:rFonts w:hint="eastAsia" w:ascii="宋体" w:hAnsi="宋体" w:cs="宋体"/>
          <w:snapToGrid w:val="0"/>
          <w:sz w:val="21"/>
          <w:szCs w:val="21"/>
          <w:lang w:eastAsia="zh-CN"/>
        </w:rPr>
        <w:t>小额工程阳光交易网</w:t>
      </w:r>
      <w:r>
        <w:rPr>
          <w:rFonts w:hint="eastAsia" w:ascii="宋体" w:hAnsi="宋体" w:eastAsia="宋体" w:cs="宋体"/>
          <w:snapToGrid w:val="0"/>
          <w:sz w:val="21"/>
          <w:szCs w:val="21"/>
        </w:rPr>
        <w:t>）自行下载发包文件。（注：</w:t>
      </w:r>
      <w:r>
        <w:rPr>
          <w:rFonts w:hint="eastAsia" w:ascii="宋体" w:hAnsi="宋体" w:cs="宋体"/>
          <w:snapToGrid w:val="0"/>
          <w:sz w:val="21"/>
          <w:szCs w:val="21"/>
          <w:lang w:val="en-US" w:eastAsia="zh-CN"/>
        </w:rPr>
        <w:t>竞包人</w:t>
      </w:r>
      <w:r>
        <w:rPr>
          <w:rFonts w:hint="eastAsia" w:ascii="宋体" w:hAnsi="宋体" w:eastAsia="宋体" w:cs="宋体"/>
          <w:snapToGrid w:val="0"/>
          <w:sz w:val="21"/>
          <w:szCs w:val="21"/>
        </w:rPr>
        <w:t>需注册入库并办理CA锁，具体操作流程详见泰顺县小额工程阳光交易网的注册及办事指南）</w:t>
      </w:r>
    </w:p>
    <w:p w14:paraId="6AFA718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.3发包文件网上下载时间：</w:t>
      </w:r>
      <w:r>
        <w:rPr>
          <w:rFonts w:hint="eastAsia" w:ascii="宋体" w:hAnsi="宋体" w:eastAsia="宋体" w:cs="宋体"/>
          <w:b w:val="0"/>
          <w:bCs w:val="0"/>
          <w:snapToGrid w:val="0"/>
          <w:sz w:val="21"/>
          <w:szCs w:val="21"/>
          <w:u w:val="single"/>
        </w:rPr>
        <w:t>公告发布之日起至竞包文件递交截止时间</w:t>
      </w:r>
      <w:r>
        <w:rPr>
          <w:rFonts w:hint="eastAsia" w:ascii="宋体" w:hAnsi="宋体" w:eastAsia="宋体" w:cs="宋体"/>
          <w:snapToGrid w:val="0"/>
          <w:sz w:val="21"/>
          <w:szCs w:val="21"/>
        </w:rPr>
        <w:t>前。</w:t>
      </w:r>
    </w:p>
    <w:p w14:paraId="39ECE90B">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sz w:val="20"/>
        </w:rPr>
      </w:pPr>
      <w:r>
        <w:rPr>
          <w:rFonts w:hint="eastAsia" w:ascii="宋体" w:hAnsi="宋体" w:eastAsia="宋体" w:cs="宋体"/>
          <w:b/>
          <w:bCs/>
          <w:sz w:val="20"/>
        </w:rPr>
        <w:t>5．</w:t>
      </w:r>
      <w:r>
        <w:rPr>
          <w:rFonts w:hint="eastAsia" w:ascii="宋体" w:hAnsi="宋体" w:eastAsia="宋体" w:cs="宋体"/>
          <w:b/>
          <w:bCs/>
          <w:sz w:val="20"/>
          <w:lang w:val="en-US" w:eastAsia="zh-CN"/>
        </w:rPr>
        <w:t>竞包</w:t>
      </w:r>
      <w:r>
        <w:rPr>
          <w:rFonts w:hint="eastAsia" w:ascii="宋体" w:hAnsi="宋体" w:eastAsia="宋体" w:cs="宋体"/>
          <w:b/>
          <w:bCs w:val="0"/>
          <w:sz w:val="21"/>
          <w:szCs w:val="21"/>
          <w:lang w:val="en-US" w:eastAsia="zh-CN"/>
        </w:rPr>
        <w:t>文件</w:t>
      </w:r>
      <w:r>
        <w:rPr>
          <w:rFonts w:hint="eastAsia" w:ascii="宋体" w:hAnsi="宋体" w:eastAsia="宋体" w:cs="宋体"/>
          <w:b/>
          <w:bCs/>
          <w:sz w:val="20"/>
        </w:rPr>
        <w:t>的递交及相关事宜</w:t>
      </w:r>
    </w:p>
    <w:p w14:paraId="603F87E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.1竞包文件递交的截止时间（竞包截止时间，下同）为</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时</w:t>
      </w:r>
      <w:r>
        <w:rPr>
          <w:rFonts w:hint="eastAsia" w:ascii="宋体" w:hAnsi="宋体" w:eastAsia="宋体" w:cs="宋体"/>
          <w:sz w:val="21"/>
          <w:szCs w:val="21"/>
          <w:u w:val="single"/>
        </w:rPr>
        <w:t xml:space="preserve">   </w:t>
      </w:r>
      <w:r>
        <w:rPr>
          <w:rFonts w:hint="eastAsia" w:ascii="宋体" w:hAnsi="宋体" w:eastAsia="宋体" w:cs="宋体"/>
          <w:sz w:val="21"/>
          <w:szCs w:val="21"/>
        </w:rPr>
        <w:t>分，电子发包竞包交易平台为</w:t>
      </w:r>
      <w:r>
        <w:rPr>
          <w:rFonts w:hint="eastAsia" w:ascii="宋体" w:hAnsi="宋体" w:eastAsia="宋体" w:cs="宋体"/>
          <w:sz w:val="21"/>
          <w:szCs w:val="21"/>
          <w:u w:val="single"/>
        </w:rPr>
        <w:t>泰顺县</w:t>
      </w:r>
      <w:r>
        <w:rPr>
          <w:rFonts w:hint="eastAsia" w:ascii="宋体" w:hAnsi="宋体" w:cs="宋体"/>
          <w:sz w:val="21"/>
          <w:szCs w:val="21"/>
          <w:u w:val="single"/>
          <w:lang w:eastAsia="zh-CN"/>
        </w:rPr>
        <w:t>小额工程阳光交易</w:t>
      </w:r>
      <w:r>
        <w:rPr>
          <w:rFonts w:hint="eastAsia" w:ascii="宋体" w:hAnsi="宋体" w:cs="宋体"/>
          <w:sz w:val="21"/>
          <w:szCs w:val="21"/>
          <w:u w:val="single"/>
          <w:lang w:val="en-US" w:eastAsia="zh-CN"/>
        </w:rPr>
        <w:t>系统</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6BA7EA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.2逾期上传的竞包文件，发包（代理）人不予受理。</w:t>
      </w:r>
    </w:p>
    <w:p w14:paraId="3EB46826">
      <w:pPr>
        <w:pStyle w:val="5"/>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sz w:val="20"/>
        </w:rPr>
      </w:pPr>
      <w:r>
        <w:rPr>
          <w:rFonts w:hint="eastAsia" w:ascii="宋体" w:hAnsi="宋体" w:eastAsia="宋体" w:cs="宋体"/>
          <w:b/>
          <w:bCs/>
          <w:sz w:val="20"/>
        </w:rPr>
        <w:t>6．监督部门</w:t>
      </w:r>
    </w:p>
    <w:p w14:paraId="5F472307">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sz w:val="20"/>
        </w:rPr>
      </w:pPr>
      <w:r>
        <w:rPr>
          <w:rFonts w:hint="eastAsia" w:ascii="宋体" w:hAnsi="宋体" w:eastAsia="宋体" w:cs="宋体"/>
          <w:b w:val="0"/>
          <w:bCs w:val="0"/>
          <w:sz w:val="20"/>
        </w:rPr>
        <w:t>监督部门：</w:t>
      </w:r>
      <w:r>
        <w:rPr>
          <w:rFonts w:hint="eastAsia" w:ascii="宋体" w:hAnsi="宋体" w:eastAsia="宋体" w:cs="宋体"/>
          <w:b w:val="0"/>
          <w:bCs w:val="0"/>
          <w:sz w:val="21"/>
          <w:szCs w:val="21"/>
        </w:rPr>
        <w:t>_________________________</w:t>
      </w:r>
    </w:p>
    <w:p w14:paraId="34BA2F0B">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sz w:val="20"/>
        </w:rPr>
      </w:pPr>
      <w:r>
        <w:rPr>
          <w:rFonts w:hint="eastAsia" w:ascii="宋体" w:hAnsi="宋体" w:eastAsia="宋体" w:cs="宋体"/>
          <w:b w:val="0"/>
          <w:bCs w:val="0"/>
          <w:sz w:val="20"/>
        </w:rPr>
        <w:t>地    址：</w:t>
      </w:r>
      <w:r>
        <w:rPr>
          <w:rFonts w:hint="eastAsia" w:ascii="宋体" w:hAnsi="宋体" w:eastAsia="宋体" w:cs="宋体"/>
          <w:b w:val="0"/>
          <w:bCs w:val="0"/>
          <w:sz w:val="21"/>
          <w:szCs w:val="21"/>
        </w:rPr>
        <w:t>_________________________</w:t>
      </w:r>
    </w:p>
    <w:p w14:paraId="58B17005">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sz w:val="20"/>
        </w:rPr>
      </w:pPr>
      <w:r>
        <w:rPr>
          <w:rFonts w:hint="eastAsia" w:ascii="宋体" w:hAnsi="宋体" w:eastAsia="宋体" w:cs="宋体"/>
          <w:b w:val="0"/>
          <w:bCs w:val="0"/>
          <w:sz w:val="20"/>
        </w:rPr>
        <w:t>邮政编码：</w:t>
      </w:r>
      <w:r>
        <w:rPr>
          <w:rFonts w:hint="eastAsia" w:ascii="宋体" w:hAnsi="宋体" w:eastAsia="宋体" w:cs="宋体"/>
          <w:b w:val="0"/>
          <w:bCs w:val="0"/>
          <w:sz w:val="21"/>
          <w:szCs w:val="21"/>
        </w:rPr>
        <w:t>_________________________</w:t>
      </w:r>
    </w:p>
    <w:p w14:paraId="03B98B4A">
      <w:pPr>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0"/>
        </w:rPr>
        <w:t>电    话：</w:t>
      </w:r>
      <w:r>
        <w:rPr>
          <w:rFonts w:hint="eastAsia" w:ascii="宋体" w:hAnsi="宋体" w:eastAsia="宋体" w:cs="宋体"/>
          <w:b w:val="0"/>
          <w:bCs w:val="0"/>
          <w:sz w:val="21"/>
          <w:szCs w:val="21"/>
        </w:rPr>
        <w:t>_________________________</w:t>
      </w:r>
    </w:p>
    <w:p w14:paraId="33B4B061">
      <w:pPr>
        <w:pStyle w:val="5"/>
        <w:keepNext/>
        <w:keepLines/>
        <w:pageBreakBefore w:val="0"/>
        <w:widowControl w:val="0"/>
        <w:kinsoku/>
        <w:wordWrap/>
        <w:overflowPunct/>
        <w:topLinePunct w:val="0"/>
        <w:autoSpaceDE/>
        <w:autoSpaceDN/>
        <w:bidi w:val="0"/>
        <w:adjustRightInd/>
        <w:snapToGrid/>
        <w:spacing w:before="0" w:after="157" w:afterLines="50" w:line="400" w:lineRule="exact"/>
        <w:textAlignment w:val="auto"/>
        <w:rPr>
          <w:rFonts w:hint="eastAsia" w:ascii="宋体" w:hAnsi="宋体" w:eastAsia="宋体" w:cs="宋体"/>
          <w:b/>
          <w:bCs/>
          <w:sz w:val="20"/>
        </w:rPr>
      </w:pPr>
      <w:r>
        <w:rPr>
          <w:rFonts w:hint="eastAsia" w:ascii="宋体" w:hAnsi="宋体" w:eastAsia="宋体" w:cs="宋体"/>
          <w:b/>
          <w:bCs/>
          <w:sz w:val="20"/>
        </w:rPr>
        <w:t>7．联系</w:t>
      </w:r>
      <w:r>
        <w:rPr>
          <w:rFonts w:hint="eastAsia" w:ascii="宋体" w:hAnsi="宋体" w:eastAsia="宋体" w:cs="宋体"/>
          <w:b/>
          <w:bCs w:val="0"/>
          <w:sz w:val="21"/>
          <w:szCs w:val="21"/>
          <w:lang w:val="en-US" w:eastAsia="zh-CN"/>
        </w:rPr>
        <w:t>方式</w:t>
      </w:r>
    </w:p>
    <w:tbl>
      <w:tblPr>
        <w:tblStyle w:val="44"/>
        <w:tblW w:w="8919" w:type="dxa"/>
        <w:tblInd w:w="545" w:type="dxa"/>
        <w:tblLayout w:type="fixed"/>
        <w:tblCellMar>
          <w:top w:w="0" w:type="dxa"/>
          <w:left w:w="108" w:type="dxa"/>
          <w:bottom w:w="0" w:type="dxa"/>
          <w:right w:w="108" w:type="dxa"/>
        </w:tblCellMar>
      </w:tblPr>
      <w:tblGrid>
        <w:gridCol w:w="1337"/>
        <w:gridCol w:w="2934"/>
        <w:gridCol w:w="1973"/>
        <w:gridCol w:w="2675"/>
      </w:tblGrid>
      <w:tr w14:paraId="1EFC569D">
        <w:tblPrEx>
          <w:tblCellMar>
            <w:top w:w="0" w:type="dxa"/>
            <w:left w:w="108" w:type="dxa"/>
            <w:bottom w:w="0" w:type="dxa"/>
            <w:right w:w="108" w:type="dxa"/>
          </w:tblCellMar>
        </w:tblPrEx>
        <w:trPr>
          <w:trHeight w:val="502" w:hRule="atLeast"/>
        </w:trPr>
        <w:tc>
          <w:tcPr>
            <w:tcW w:w="1337" w:type="dxa"/>
            <w:shd w:val="clear" w:color="auto" w:fill="auto"/>
            <w:vAlign w:val="center"/>
          </w:tcPr>
          <w:p w14:paraId="4FF843B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发包人</w:t>
            </w:r>
            <w:r>
              <w:rPr>
                <w:rFonts w:hint="eastAsia" w:ascii="宋体" w:hAnsi="宋体" w:eastAsia="宋体" w:cs="宋体"/>
                <w:sz w:val="21"/>
                <w:szCs w:val="21"/>
              </w:rPr>
              <w:t>：</w:t>
            </w:r>
          </w:p>
        </w:tc>
        <w:tc>
          <w:tcPr>
            <w:tcW w:w="2934" w:type="dxa"/>
            <w:shd w:val="clear" w:color="auto" w:fill="auto"/>
            <w:vAlign w:val="center"/>
          </w:tcPr>
          <w:p w14:paraId="2B5640DC">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58ED317A">
            <w:pPr>
              <w:spacing w:line="360" w:lineRule="auto"/>
              <w:rPr>
                <w:rFonts w:hint="eastAsia" w:ascii="宋体" w:hAnsi="宋体" w:eastAsia="宋体" w:cs="宋体"/>
                <w:sz w:val="21"/>
                <w:szCs w:val="21"/>
              </w:rPr>
            </w:pPr>
            <w:r>
              <w:rPr>
                <w:rFonts w:hint="eastAsia" w:ascii="宋体" w:hAnsi="宋体" w:cs="宋体"/>
                <w:sz w:val="21"/>
                <w:szCs w:val="21"/>
                <w:lang w:val="en-US" w:eastAsia="zh-CN"/>
              </w:rPr>
              <w:t>中介</w:t>
            </w:r>
            <w:r>
              <w:rPr>
                <w:rFonts w:hint="eastAsia" w:ascii="宋体" w:hAnsi="宋体" w:eastAsia="宋体" w:cs="宋体"/>
                <w:sz w:val="21"/>
                <w:szCs w:val="21"/>
              </w:rPr>
              <w:t>代理机构：</w:t>
            </w:r>
          </w:p>
        </w:tc>
        <w:tc>
          <w:tcPr>
            <w:tcW w:w="2675" w:type="dxa"/>
            <w:shd w:val="clear" w:color="auto" w:fill="auto"/>
            <w:vAlign w:val="center"/>
          </w:tcPr>
          <w:p w14:paraId="3B968149">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59C125B3">
        <w:tblPrEx>
          <w:tblCellMar>
            <w:top w:w="0" w:type="dxa"/>
            <w:left w:w="108" w:type="dxa"/>
            <w:bottom w:w="0" w:type="dxa"/>
            <w:right w:w="108" w:type="dxa"/>
          </w:tblCellMar>
        </w:tblPrEx>
        <w:trPr>
          <w:trHeight w:val="533" w:hRule="atLeast"/>
        </w:trPr>
        <w:tc>
          <w:tcPr>
            <w:tcW w:w="1337" w:type="dxa"/>
            <w:shd w:val="clear" w:color="auto" w:fill="auto"/>
            <w:vAlign w:val="center"/>
          </w:tcPr>
          <w:p w14:paraId="2AFECFCD">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2934" w:type="dxa"/>
            <w:shd w:val="clear" w:color="auto" w:fill="auto"/>
            <w:vAlign w:val="center"/>
          </w:tcPr>
          <w:p w14:paraId="11AF41CE">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29C0316A">
            <w:pPr>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2675" w:type="dxa"/>
            <w:shd w:val="clear" w:color="auto" w:fill="auto"/>
            <w:vAlign w:val="center"/>
          </w:tcPr>
          <w:p w14:paraId="6D7BCB11">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083821E2">
        <w:tblPrEx>
          <w:tblCellMar>
            <w:top w:w="0" w:type="dxa"/>
            <w:left w:w="108" w:type="dxa"/>
            <w:bottom w:w="0" w:type="dxa"/>
            <w:right w:w="108" w:type="dxa"/>
          </w:tblCellMar>
        </w:tblPrEx>
        <w:trPr>
          <w:trHeight w:val="533" w:hRule="atLeast"/>
        </w:trPr>
        <w:tc>
          <w:tcPr>
            <w:tcW w:w="1337" w:type="dxa"/>
            <w:shd w:val="clear" w:color="auto" w:fill="auto"/>
            <w:vAlign w:val="center"/>
          </w:tcPr>
          <w:p w14:paraId="2F77910D">
            <w:pPr>
              <w:spacing w:line="360" w:lineRule="auto"/>
              <w:rPr>
                <w:rFonts w:hint="eastAsia" w:ascii="宋体" w:hAnsi="宋体" w:eastAsia="宋体" w:cs="宋体"/>
                <w:sz w:val="21"/>
                <w:szCs w:val="21"/>
              </w:rPr>
            </w:pPr>
            <w:r>
              <w:rPr>
                <w:rFonts w:hint="eastAsia" w:ascii="宋体" w:hAnsi="宋体" w:eastAsia="宋体" w:cs="宋体"/>
                <w:sz w:val="21"/>
                <w:szCs w:val="21"/>
              </w:rPr>
              <w:t>联系人：</w:t>
            </w:r>
          </w:p>
        </w:tc>
        <w:tc>
          <w:tcPr>
            <w:tcW w:w="2934" w:type="dxa"/>
            <w:shd w:val="clear" w:color="auto" w:fill="auto"/>
            <w:vAlign w:val="center"/>
          </w:tcPr>
          <w:p w14:paraId="35C159E9">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29C914EA">
            <w:pPr>
              <w:spacing w:line="360" w:lineRule="auto"/>
              <w:rPr>
                <w:rFonts w:hint="eastAsia" w:ascii="宋体" w:hAnsi="宋体" w:eastAsia="宋体" w:cs="宋体"/>
                <w:sz w:val="21"/>
                <w:szCs w:val="21"/>
              </w:rPr>
            </w:pPr>
            <w:r>
              <w:rPr>
                <w:rFonts w:hint="eastAsia" w:ascii="宋体" w:hAnsi="宋体" w:eastAsia="宋体" w:cs="宋体"/>
                <w:sz w:val="21"/>
                <w:szCs w:val="21"/>
              </w:rPr>
              <w:t>联系人：</w:t>
            </w:r>
          </w:p>
        </w:tc>
        <w:tc>
          <w:tcPr>
            <w:tcW w:w="2675" w:type="dxa"/>
            <w:shd w:val="clear" w:color="auto" w:fill="auto"/>
          </w:tcPr>
          <w:p w14:paraId="629620E9">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021634CC">
        <w:tblPrEx>
          <w:tblCellMar>
            <w:top w:w="0" w:type="dxa"/>
            <w:left w:w="108" w:type="dxa"/>
            <w:bottom w:w="0" w:type="dxa"/>
            <w:right w:w="108" w:type="dxa"/>
          </w:tblCellMar>
        </w:tblPrEx>
        <w:trPr>
          <w:trHeight w:val="502" w:hRule="atLeast"/>
        </w:trPr>
        <w:tc>
          <w:tcPr>
            <w:tcW w:w="1337" w:type="dxa"/>
            <w:shd w:val="clear" w:color="auto" w:fill="auto"/>
            <w:vAlign w:val="center"/>
          </w:tcPr>
          <w:p w14:paraId="0AC98ABB">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c>
          <w:tcPr>
            <w:tcW w:w="2934" w:type="dxa"/>
            <w:shd w:val="clear" w:color="auto" w:fill="auto"/>
            <w:vAlign w:val="center"/>
          </w:tcPr>
          <w:p w14:paraId="6384B894">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3B5DFC0D">
            <w:pPr>
              <w:spacing w:line="360" w:lineRule="auto"/>
              <w:rPr>
                <w:rFonts w:hint="eastAsia" w:ascii="宋体" w:hAnsi="宋体" w:eastAsia="宋体" w:cs="宋体"/>
                <w:sz w:val="21"/>
                <w:szCs w:val="21"/>
              </w:rPr>
            </w:pPr>
            <w:r>
              <w:rPr>
                <w:rFonts w:hint="eastAsia" w:ascii="宋体" w:hAnsi="宋体" w:eastAsia="宋体" w:cs="宋体"/>
                <w:sz w:val="21"/>
                <w:szCs w:val="21"/>
              </w:rPr>
              <w:t>电话：</w:t>
            </w:r>
          </w:p>
        </w:tc>
        <w:tc>
          <w:tcPr>
            <w:tcW w:w="2675" w:type="dxa"/>
            <w:shd w:val="clear" w:color="auto" w:fill="auto"/>
          </w:tcPr>
          <w:p w14:paraId="29D6BD69">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2F435AF1">
        <w:tblPrEx>
          <w:tblCellMar>
            <w:top w:w="0" w:type="dxa"/>
            <w:left w:w="108" w:type="dxa"/>
            <w:bottom w:w="0" w:type="dxa"/>
            <w:right w:w="108" w:type="dxa"/>
          </w:tblCellMar>
        </w:tblPrEx>
        <w:trPr>
          <w:trHeight w:val="502" w:hRule="atLeast"/>
        </w:trPr>
        <w:tc>
          <w:tcPr>
            <w:tcW w:w="1337" w:type="dxa"/>
            <w:shd w:val="clear" w:color="auto" w:fill="auto"/>
            <w:vAlign w:val="center"/>
          </w:tcPr>
          <w:p w14:paraId="59034CAC">
            <w:pPr>
              <w:spacing w:line="360" w:lineRule="auto"/>
              <w:rPr>
                <w:rFonts w:hint="eastAsia" w:ascii="宋体" w:hAnsi="宋体" w:eastAsia="宋体" w:cs="宋体"/>
                <w:sz w:val="21"/>
                <w:szCs w:val="21"/>
              </w:rPr>
            </w:pPr>
            <w:r>
              <w:rPr>
                <w:rFonts w:hint="eastAsia" w:ascii="宋体" w:hAnsi="宋体" w:eastAsia="宋体" w:cs="宋体"/>
                <w:sz w:val="21"/>
                <w:szCs w:val="21"/>
              </w:rPr>
              <w:t>电子邮件：</w:t>
            </w:r>
          </w:p>
        </w:tc>
        <w:tc>
          <w:tcPr>
            <w:tcW w:w="2934" w:type="dxa"/>
            <w:shd w:val="clear" w:color="auto" w:fill="auto"/>
            <w:vAlign w:val="center"/>
          </w:tcPr>
          <w:p w14:paraId="5DD9C5CC">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c>
          <w:tcPr>
            <w:tcW w:w="1973" w:type="dxa"/>
            <w:shd w:val="clear" w:color="auto" w:fill="auto"/>
            <w:vAlign w:val="center"/>
          </w:tcPr>
          <w:p w14:paraId="6201BAC9">
            <w:pPr>
              <w:spacing w:line="360" w:lineRule="auto"/>
              <w:rPr>
                <w:rFonts w:hint="eastAsia" w:ascii="宋体" w:hAnsi="宋体" w:eastAsia="宋体" w:cs="宋体"/>
                <w:sz w:val="21"/>
                <w:szCs w:val="21"/>
              </w:rPr>
            </w:pPr>
            <w:r>
              <w:rPr>
                <w:rFonts w:hint="eastAsia" w:ascii="宋体" w:hAnsi="宋体" w:eastAsia="宋体" w:cs="宋体"/>
                <w:sz w:val="21"/>
                <w:szCs w:val="21"/>
              </w:rPr>
              <w:t>电子邮件：</w:t>
            </w:r>
          </w:p>
        </w:tc>
        <w:tc>
          <w:tcPr>
            <w:tcW w:w="2675" w:type="dxa"/>
            <w:shd w:val="clear" w:color="auto" w:fill="auto"/>
          </w:tcPr>
          <w:p w14:paraId="1894A6CC">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w:t>
            </w:r>
          </w:p>
        </w:tc>
      </w:tr>
      <w:tr w14:paraId="6F5DA5C7">
        <w:tblPrEx>
          <w:tblCellMar>
            <w:top w:w="0" w:type="dxa"/>
            <w:left w:w="108" w:type="dxa"/>
            <w:bottom w:w="0" w:type="dxa"/>
            <w:right w:w="108" w:type="dxa"/>
          </w:tblCellMar>
        </w:tblPrEx>
        <w:trPr>
          <w:trHeight w:val="566" w:hRule="atLeast"/>
        </w:trPr>
        <w:tc>
          <w:tcPr>
            <w:tcW w:w="1337" w:type="dxa"/>
            <w:shd w:val="clear" w:color="auto" w:fill="auto"/>
            <w:vAlign w:val="center"/>
          </w:tcPr>
          <w:p w14:paraId="5B828639">
            <w:pPr>
              <w:spacing w:line="360" w:lineRule="auto"/>
              <w:rPr>
                <w:rFonts w:hint="eastAsia" w:ascii="宋体" w:hAnsi="宋体" w:eastAsia="宋体" w:cs="宋体"/>
                <w:sz w:val="21"/>
                <w:szCs w:val="21"/>
              </w:rPr>
            </w:pPr>
            <w:r>
              <w:rPr>
                <w:rFonts w:hint="eastAsia" w:ascii="宋体" w:hAnsi="宋体" w:eastAsia="宋体" w:cs="宋体"/>
                <w:sz w:val="21"/>
                <w:szCs w:val="21"/>
              </w:rPr>
              <w:t>日期：</w:t>
            </w:r>
          </w:p>
        </w:tc>
        <w:tc>
          <w:tcPr>
            <w:tcW w:w="7582" w:type="dxa"/>
            <w:gridSpan w:val="3"/>
            <w:shd w:val="clear" w:color="auto" w:fill="auto"/>
            <w:vAlign w:val="center"/>
          </w:tcPr>
          <w:p w14:paraId="562CF050">
            <w:pPr>
              <w:spacing w:line="360" w:lineRule="auto"/>
              <w:rPr>
                <w:rFonts w:hint="eastAsia" w:ascii="宋体" w:hAnsi="宋体" w:eastAsia="宋体" w:cs="宋体"/>
                <w:sz w:val="21"/>
                <w:szCs w:val="21"/>
              </w:rPr>
            </w:pPr>
            <w:r>
              <w:rPr>
                <w:rFonts w:hint="eastAsia" w:ascii="宋体" w:hAnsi="宋体" w:eastAsia="宋体" w:cs="宋体"/>
                <w:sz w:val="21"/>
                <w:szCs w:val="21"/>
              </w:rPr>
              <w:t>_________________________</w:t>
            </w:r>
          </w:p>
        </w:tc>
      </w:tr>
    </w:tbl>
    <w:p w14:paraId="1421838A">
      <w:pPr>
        <w:spacing w:line="360" w:lineRule="auto"/>
        <w:ind w:firstLine="420" w:firstLineChars="200"/>
        <w:rPr>
          <w:szCs w:val="21"/>
        </w:rPr>
      </w:pPr>
    </w:p>
    <w:p w14:paraId="7BE53F43">
      <w:pPr>
        <w:spacing w:line="360" w:lineRule="auto"/>
        <w:ind w:firstLine="422" w:firstLineChars="200"/>
        <w:rPr>
          <w:szCs w:val="21"/>
        </w:rPr>
      </w:pPr>
      <w:r>
        <w:rPr>
          <w:rFonts w:hint="eastAsia"/>
          <w:b/>
        </w:rPr>
        <w:t>备注：</w:t>
      </w:r>
      <w:r>
        <w:rPr>
          <w:rFonts w:hint="eastAsia"/>
          <w:spacing w:val="-1"/>
        </w:rPr>
        <w:t>你单位收到本邀请书后，按照上述方式获取发包文件，视为确认参加竞包；</w:t>
      </w:r>
      <w:r>
        <w:rPr>
          <w:rFonts w:hint="eastAsia"/>
        </w:rPr>
        <w:t>如确认不参加竞包的，应在竞包截止时间前</w:t>
      </w:r>
      <w:r>
        <w:rPr>
          <w:rFonts w:hint="eastAsia"/>
          <w:u w:val="single"/>
        </w:rPr>
        <w:t xml:space="preserve">    </w:t>
      </w:r>
      <w:r>
        <w:rPr>
          <w:rFonts w:hint="eastAsia"/>
        </w:rPr>
        <w:t>日以书面或电子信件形式告知发包（代理）人（格式自拟，单位应盖章）</w:t>
      </w:r>
    </w:p>
    <w:p w14:paraId="58345A44">
      <w:pPr>
        <w:spacing w:line="240" w:lineRule="auto"/>
        <w:ind w:firstLine="0" w:firstLineChars="0"/>
        <w:rPr>
          <w:szCs w:val="21"/>
        </w:rPr>
      </w:pPr>
      <w:r>
        <w:rPr>
          <w:szCs w:val="21"/>
        </w:rPr>
        <w:br w:type="page"/>
      </w:r>
    </w:p>
    <w:p w14:paraId="177CFABE">
      <w:pPr>
        <w:pStyle w:val="5"/>
        <w:rPr>
          <w:rFonts w:ascii="宋体" w:hAnsi="宋体" w:cs="宋体"/>
        </w:rPr>
      </w:pPr>
      <w:bookmarkStart w:id="64" w:name="_Toc9543"/>
      <w:bookmarkStart w:id="65" w:name="_Toc1736910450"/>
      <w:bookmarkStart w:id="66" w:name="_Toc17914"/>
      <w:bookmarkStart w:id="67" w:name="_Toc325317122"/>
      <w:bookmarkStart w:id="68" w:name="_Toc28549"/>
      <w:r>
        <w:rPr>
          <w:rFonts w:hint="eastAsia" w:ascii="宋体" w:hAnsi="宋体" w:cs="宋体"/>
        </w:rPr>
        <w:t>附件：</w:t>
      </w:r>
      <w:bookmarkEnd w:id="64"/>
      <w:bookmarkEnd w:id="65"/>
      <w:bookmarkEnd w:id="66"/>
    </w:p>
    <w:p w14:paraId="5C74EBA8">
      <w:pPr>
        <w:pStyle w:val="2"/>
      </w:pPr>
    </w:p>
    <w:p w14:paraId="2AC97BB4">
      <w:pPr>
        <w:spacing w:line="360" w:lineRule="auto"/>
        <w:jc w:val="center"/>
        <w:rPr>
          <w:rFonts w:ascii="宋体" w:hAnsi="宋体" w:cs="宋体"/>
          <w:sz w:val="32"/>
          <w:szCs w:val="32"/>
        </w:rPr>
      </w:pPr>
      <w:r>
        <w:rPr>
          <w:rFonts w:hint="eastAsia" w:ascii="宋体" w:hAnsi="宋体" w:cs="宋体"/>
          <w:sz w:val="32"/>
          <w:szCs w:val="32"/>
        </w:rPr>
        <w:t>确认通知</w:t>
      </w:r>
    </w:p>
    <w:p w14:paraId="03E52E59">
      <w:pPr>
        <w:pStyle w:val="2"/>
        <w:tabs>
          <w:tab w:val="left" w:pos="482"/>
          <w:tab w:val="left" w:pos="2183"/>
          <w:tab w:val="left" w:pos="3884"/>
          <w:tab w:val="left" w:pos="5585"/>
          <w:tab w:val="clear" w:pos="9360"/>
        </w:tabs>
        <w:rPr>
          <w:rFonts w:ascii="宋体" w:hAnsi="宋体" w:cs="宋体"/>
          <w:szCs w:val="24"/>
        </w:rPr>
      </w:pPr>
    </w:p>
    <w:p w14:paraId="4FA83749">
      <w:pPr>
        <w:spacing w:line="360" w:lineRule="auto"/>
        <w:ind w:firstLine="240" w:firstLineChars="100"/>
        <w:jc w:val="left"/>
        <w:rPr>
          <w:rFonts w:ascii="宋体" w:hAnsi="宋体" w:cs="宋体"/>
          <w:sz w:val="24"/>
        </w:rPr>
      </w:pPr>
      <w:r>
        <w:rPr>
          <w:rFonts w:hint="eastAsia" w:ascii="宋体" w:hAnsi="宋体" w:cs="宋体"/>
          <w:sz w:val="24"/>
          <w:u w:val="single"/>
        </w:rPr>
        <w:t>（</w:t>
      </w:r>
      <w:r>
        <w:rPr>
          <w:rFonts w:hint="eastAsia" w:ascii="宋体" w:hAnsi="宋体" w:cs="宋体"/>
          <w:i/>
          <w:sz w:val="24"/>
          <w:u w:val="single"/>
          <w:lang w:val="en-US" w:eastAsia="zh-CN"/>
        </w:rPr>
        <w:t>发包</w:t>
      </w:r>
      <w:r>
        <w:rPr>
          <w:rFonts w:hint="eastAsia" w:ascii="宋体" w:hAnsi="宋体" w:cs="宋体"/>
          <w:i/>
          <w:sz w:val="24"/>
          <w:u w:val="single"/>
        </w:rPr>
        <w:t>人名称</w:t>
      </w:r>
      <w:r>
        <w:rPr>
          <w:rFonts w:hint="eastAsia" w:ascii="宋体" w:hAnsi="宋体" w:cs="宋体"/>
          <w:sz w:val="24"/>
          <w:u w:val="single"/>
        </w:rPr>
        <w:t>）</w:t>
      </w:r>
      <w:r>
        <w:rPr>
          <w:rFonts w:hint="eastAsia" w:ascii="宋体" w:hAnsi="宋体" w:cs="宋体"/>
          <w:sz w:val="24"/>
        </w:rPr>
        <w:t>：</w:t>
      </w:r>
    </w:p>
    <w:p w14:paraId="440924B9">
      <w:pPr>
        <w:spacing w:line="360" w:lineRule="auto"/>
        <w:ind w:firstLine="480" w:firstLineChars="200"/>
        <w:jc w:val="left"/>
        <w:rPr>
          <w:rFonts w:ascii="宋体" w:hAnsi="宋体" w:cs="宋体"/>
          <w:sz w:val="24"/>
        </w:rPr>
      </w:pPr>
      <w:r>
        <w:rPr>
          <w:rFonts w:hint="eastAsia" w:ascii="宋体" w:hAnsi="宋体" w:cs="宋体"/>
          <w:sz w:val="24"/>
        </w:rPr>
        <w:t>我方已于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日收到你方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日发出的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u w:val="single"/>
        </w:rPr>
        <w:t>）</w:t>
      </w:r>
      <w:r>
        <w:rPr>
          <w:rFonts w:hint="eastAsia" w:ascii="宋体" w:hAnsi="宋体" w:cs="宋体"/>
          <w:sz w:val="24"/>
          <w:u w:val="none"/>
          <w:lang w:val="en-US" w:eastAsia="zh-CN"/>
        </w:rPr>
        <w:t>施工</w:t>
      </w:r>
      <w:r>
        <w:rPr>
          <w:rFonts w:hint="eastAsia" w:ascii="宋体" w:hAnsi="宋体" w:cs="宋体"/>
          <w:sz w:val="24"/>
          <w:lang w:val="en-US" w:eastAsia="zh-CN"/>
        </w:rPr>
        <w:t>发包</w:t>
      </w:r>
      <w:r>
        <w:rPr>
          <w:rFonts w:hint="eastAsia" w:ascii="宋体" w:hAnsi="宋体" w:cs="宋体"/>
          <w:sz w:val="24"/>
        </w:rPr>
        <w:t>的</w:t>
      </w:r>
      <w:r>
        <w:rPr>
          <w:rFonts w:hint="eastAsia" w:ascii="宋体" w:hAnsi="宋体" w:cs="宋体"/>
          <w:sz w:val="24"/>
          <w:lang w:val="en-US" w:eastAsia="zh-CN"/>
        </w:rPr>
        <w:t>竞包</w:t>
      </w:r>
      <w:r>
        <w:rPr>
          <w:rFonts w:hint="eastAsia" w:ascii="宋体" w:hAnsi="宋体" w:cs="宋体"/>
          <w:sz w:val="24"/>
        </w:rPr>
        <w:t>邀请书，并确认</w:t>
      </w:r>
      <w:r>
        <w:rPr>
          <w:rFonts w:hint="eastAsia" w:ascii="宋体" w:hAnsi="宋体" w:cs="宋体"/>
          <w:i/>
          <w:sz w:val="24"/>
          <w:u w:val="single"/>
        </w:rPr>
        <w:t>（参加/不参加）</w:t>
      </w:r>
      <w:r>
        <w:rPr>
          <w:rFonts w:hint="eastAsia" w:ascii="宋体" w:hAnsi="宋体" w:cs="宋体"/>
          <w:i/>
          <w:sz w:val="24"/>
          <w:u w:val="single"/>
          <w:lang w:val="en-US" w:eastAsia="zh-CN"/>
        </w:rPr>
        <w:t>竞包</w:t>
      </w:r>
      <w:r>
        <w:rPr>
          <w:rFonts w:hint="eastAsia" w:ascii="宋体" w:hAnsi="宋体" w:cs="宋体"/>
          <w:sz w:val="24"/>
        </w:rPr>
        <w:t>。</w:t>
      </w:r>
    </w:p>
    <w:p w14:paraId="6DEE2E4F">
      <w:pPr>
        <w:spacing w:line="360" w:lineRule="auto"/>
        <w:ind w:firstLine="480" w:firstLineChars="200"/>
        <w:jc w:val="left"/>
        <w:rPr>
          <w:rFonts w:ascii="宋体" w:hAnsi="宋体" w:cs="宋体"/>
          <w:sz w:val="24"/>
        </w:rPr>
      </w:pPr>
      <w:r>
        <w:rPr>
          <w:rFonts w:hint="eastAsia" w:ascii="宋体" w:hAnsi="宋体" w:cs="宋体"/>
          <w:sz w:val="24"/>
        </w:rPr>
        <w:t>特此确认。</w:t>
      </w:r>
    </w:p>
    <w:p w14:paraId="61194BE7">
      <w:pPr>
        <w:spacing w:line="360" w:lineRule="auto"/>
        <w:jc w:val="right"/>
        <w:rPr>
          <w:rFonts w:ascii="宋体" w:hAnsi="宋体" w:cs="宋体"/>
          <w:sz w:val="24"/>
        </w:rPr>
      </w:pPr>
    </w:p>
    <w:p w14:paraId="6D050308">
      <w:pPr>
        <w:spacing w:line="360" w:lineRule="auto"/>
        <w:jc w:val="right"/>
        <w:rPr>
          <w:rFonts w:ascii="宋体" w:hAnsi="宋体" w:cs="宋体"/>
          <w:sz w:val="24"/>
        </w:rPr>
      </w:pPr>
    </w:p>
    <w:p w14:paraId="54433A9A">
      <w:pPr>
        <w:spacing w:line="360" w:lineRule="auto"/>
        <w:jc w:val="right"/>
        <w:rPr>
          <w:rFonts w:ascii="宋体" w:hAnsi="宋体" w:cs="宋体"/>
          <w:sz w:val="24"/>
        </w:rPr>
      </w:pPr>
    </w:p>
    <w:p w14:paraId="75886407">
      <w:pPr>
        <w:spacing w:line="360" w:lineRule="auto"/>
        <w:jc w:val="right"/>
        <w:rPr>
          <w:rFonts w:ascii="宋体" w:hAnsi="宋体" w:cs="宋体"/>
          <w:sz w:val="24"/>
        </w:rPr>
      </w:pPr>
      <w:r>
        <w:rPr>
          <w:rFonts w:hint="eastAsia" w:ascii="宋体" w:hAnsi="宋体" w:cs="宋体"/>
          <w:sz w:val="24"/>
        </w:rPr>
        <w:t>被邀请单位名称： （盖单位章）</w:t>
      </w:r>
    </w:p>
    <w:p w14:paraId="19DA0BAF">
      <w:pPr>
        <w:spacing w:line="360" w:lineRule="auto"/>
        <w:jc w:val="right"/>
        <w:rPr>
          <w:rFonts w:ascii="宋体" w:hAnsi="宋体" w:cs="宋体"/>
          <w:color w:val="000000"/>
          <w:sz w:val="24"/>
        </w:rPr>
      </w:pPr>
      <w:r>
        <w:rPr>
          <w:rFonts w:hint="eastAsia" w:ascii="宋体" w:hAnsi="宋体" w:cs="宋体"/>
          <w:sz w:val="24"/>
        </w:rPr>
        <w:t>法定代</w:t>
      </w:r>
      <w:r>
        <w:rPr>
          <w:rFonts w:hint="eastAsia" w:ascii="宋体" w:hAnsi="宋体" w:cs="宋体"/>
          <w:color w:val="000000"/>
          <w:sz w:val="24"/>
        </w:rPr>
        <w:t>表人： （签字</w:t>
      </w:r>
      <w:r>
        <w:rPr>
          <w:rFonts w:hint="eastAsia" w:ascii="宋体" w:hAnsi="宋体" w:cs="宋体"/>
          <w:color w:val="000000"/>
          <w:sz w:val="24"/>
          <w:lang w:eastAsia="zh-CN"/>
        </w:rPr>
        <w:t>或盖章</w:t>
      </w:r>
      <w:r>
        <w:rPr>
          <w:rFonts w:hint="eastAsia" w:ascii="宋体" w:hAnsi="宋体" w:cs="宋体"/>
          <w:color w:val="000000"/>
          <w:sz w:val="24"/>
        </w:rPr>
        <w:t>）</w:t>
      </w:r>
    </w:p>
    <w:bookmarkEnd w:id="67"/>
    <w:bookmarkEnd w:id="68"/>
    <w:p w14:paraId="1766E5E9">
      <w:pPr>
        <w:pStyle w:val="31"/>
        <w:jc w:val="right"/>
        <w:rPr>
          <w:rFonts w:hint="default" w:eastAsia="宋体"/>
          <w:lang w:val="en-US" w:eastAsia="zh-CN"/>
        </w:rPr>
      </w:pPr>
      <w:r>
        <w:rPr>
          <w:rFonts w:hint="eastAsia"/>
          <w:lang w:val="en-US" w:eastAsia="zh-CN"/>
        </w:rPr>
        <w:t>年   月   日</w:t>
      </w:r>
    </w:p>
    <w:p w14:paraId="5DC89F43">
      <w:pPr>
        <w:jc w:val="center"/>
        <w:rPr>
          <w:rFonts w:hint="eastAsia" w:eastAsia="黑体"/>
          <w:sz w:val="48"/>
          <w:szCs w:val="48"/>
        </w:rPr>
      </w:pPr>
      <w:bookmarkStart w:id="69" w:name="_Toc154675030"/>
      <w:r>
        <w:rPr>
          <w:rFonts w:hint="eastAsia" w:eastAsia="黑体"/>
          <w:sz w:val="48"/>
          <w:szCs w:val="48"/>
        </w:rPr>
        <w:br w:type="page"/>
      </w:r>
    </w:p>
    <w:bookmarkEnd w:id="69"/>
    <w:p w14:paraId="5DD73416">
      <w:pPr>
        <w:spacing w:line="360" w:lineRule="auto"/>
        <w:jc w:val="center"/>
        <w:outlineLvl w:val="0"/>
        <w:rPr>
          <w:rFonts w:eastAsia="黑体"/>
          <w:sz w:val="32"/>
          <w:szCs w:val="32"/>
        </w:rPr>
      </w:pPr>
      <w:bookmarkStart w:id="70" w:name="_Toc17581"/>
      <w:bookmarkStart w:id="71" w:name="_Toc27962"/>
      <w:bookmarkStart w:id="72" w:name="_Toc5838"/>
      <w:bookmarkStart w:id="73" w:name="_Toc452457624"/>
      <w:r>
        <w:rPr>
          <w:rFonts w:hint="eastAsia" w:eastAsia="黑体"/>
          <w:sz w:val="32"/>
          <w:szCs w:val="32"/>
        </w:rPr>
        <w:t>第二章</w:t>
      </w:r>
      <w:r>
        <w:rPr>
          <w:rFonts w:eastAsia="黑体"/>
          <w:sz w:val="32"/>
          <w:szCs w:val="32"/>
        </w:rPr>
        <w:t xml:space="preserve"> </w:t>
      </w:r>
      <w:r>
        <w:rPr>
          <w:rFonts w:hint="eastAsia" w:eastAsia="黑体"/>
          <w:sz w:val="32"/>
          <w:szCs w:val="32"/>
          <w:lang w:val="en-US" w:eastAsia="zh-CN"/>
        </w:rPr>
        <w:t>竞包</w:t>
      </w:r>
      <w:r>
        <w:rPr>
          <w:rFonts w:hint="eastAsia" w:eastAsia="黑体"/>
          <w:sz w:val="32"/>
          <w:szCs w:val="32"/>
        </w:rPr>
        <w:t>人须知</w:t>
      </w:r>
      <w:bookmarkEnd w:id="70"/>
      <w:bookmarkEnd w:id="71"/>
      <w:bookmarkEnd w:id="72"/>
    </w:p>
    <w:p w14:paraId="11B66BC7">
      <w:pPr>
        <w:pStyle w:val="5"/>
        <w:spacing w:line="240" w:lineRule="auto"/>
        <w:rPr>
          <w:rFonts w:ascii="Times New Roman" w:hAnsi="Times New Roman"/>
          <w:b w:val="0"/>
          <w:szCs w:val="24"/>
        </w:rPr>
      </w:pPr>
      <w:bookmarkStart w:id="74" w:name="_Toc604"/>
      <w:bookmarkStart w:id="75" w:name="_Toc475825726"/>
      <w:bookmarkStart w:id="76" w:name="_Toc154675031"/>
      <w:bookmarkStart w:id="77" w:name="_Toc29905"/>
      <w:r>
        <w:rPr>
          <w:rFonts w:hint="eastAsia" w:ascii="Times New Roman" w:hAnsi="Times New Roman"/>
          <w:b w:val="0"/>
          <w:szCs w:val="24"/>
          <w:lang w:val="en-US" w:eastAsia="zh-CN"/>
        </w:rPr>
        <w:t>竞包</w:t>
      </w:r>
      <w:r>
        <w:rPr>
          <w:rFonts w:hint="eastAsia" w:ascii="Times New Roman" w:hAnsi="Times New Roman"/>
          <w:b w:val="0"/>
          <w:szCs w:val="24"/>
        </w:rPr>
        <w:t>人须知前附表</w:t>
      </w:r>
      <w:bookmarkEnd w:id="74"/>
      <w:bookmarkEnd w:id="75"/>
      <w:bookmarkEnd w:id="76"/>
      <w:bookmarkEnd w:id="77"/>
    </w:p>
    <w:bookmarkEnd w:id="73"/>
    <w:tbl>
      <w:tblPr>
        <w:tblStyle w:val="44"/>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425"/>
        <w:gridCol w:w="5580"/>
      </w:tblGrid>
      <w:tr w14:paraId="0D3AF84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790BCDF8">
            <w:pPr>
              <w:spacing w:line="360" w:lineRule="exact"/>
              <w:jc w:val="center"/>
              <w:rPr>
                <w:rFonts w:hint="eastAsia" w:ascii="宋体" w:hAnsi="宋体" w:eastAsia="宋体" w:cs="宋体"/>
                <w:b/>
                <w:szCs w:val="21"/>
              </w:rPr>
            </w:pPr>
            <w:r>
              <w:rPr>
                <w:rFonts w:hint="eastAsia" w:ascii="宋体" w:hAnsi="宋体" w:eastAsia="宋体" w:cs="宋体"/>
                <w:b/>
                <w:szCs w:val="21"/>
              </w:rPr>
              <w:t>条款号</w:t>
            </w:r>
          </w:p>
        </w:tc>
        <w:tc>
          <w:tcPr>
            <w:tcW w:w="2474" w:type="dxa"/>
            <w:vAlign w:val="center"/>
          </w:tcPr>
          <w:p w14:paraId="38883C5D">
            <w:pPr>
              <w:spacing w:line="360" w:lineRule="exact"/>
              <w:jc w:val="center"/>
              <w:rPr>
                <w:rFonts w:hint="eastAsia" w:ascii="宋体" w:hAnsi="宋体" w:eastAsia="宋体" w:cs="宋体"/>
                <w:b/>
                <w:szCs w:val="21"/>
              </w:rPr>
            </w:pPr>
            <w:r>
              <w:rPr>
                <w:rFonts w:hint="eastAsia" w:ascii="宋体" w:hAnsi="宋体" w:eastAsia="宋体" w:cs="宋体"/>
                <w:b/>
                <w:szCs w:val="21"/>
              </w:rPr>
              <w:t>条 款 名 称</w:t>
            </w:r>
          </w:p>
        </w:tc>
        <w:tc>
          <w:tcPr>
            <w:tcW w:w="5624" w:type="dxa"/>
            <w:vAlign w:val="center"/>
          </w:tcPr>
          <w:p w14:paraId="5BBE6E4C">
            <w:pPr>
              <w:spacing w:line="360" w:lineRule="exact"/>
              <w:jc w:val="center"/>
              <w:rPr>
                <w:rFonts w:hint="eastAsia" w:ascii="宋体" w:hAnsi="宋体" w:eastAsia="宋体" w:cs="宋体"/>
                <w:b/>
                <w:szCs w:val="21"/>
              </w:rPr>
            </w:pPr>
            <w:r>
              <w:rPr>
                <w:rFonts w:hint="eastAsia" w:ascii="宋体" w:hAnsi="宋体" w:eastAsia="宋体" w:cs="宋体"/>
                <w:b/>
                <w:szCs w:val="21"/>
              </w:rPr>
              <w:t>编 列 内 容</w:t>
            </w:r>
          </w:p>
        </w:tc>
      </w:tr>
      <w:tr w14:paraId="1DDDCB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38C26B1B">
            <w:pPr>
              <w:spacing w:line="360" w:lineRule="exact"/>
              <w:jc w:val="center"/>
              <w:rPr>
                <w:rFonts w:hint="eastAsia" w:ascii="宋体" w:hAnsi="宋体" w:eastAsia="宋体" w:cs="宋体"/>
                <w:szCs w:val="21"/>
              </w:rPr>
            </w:pPr>
            <w:r>
              <w:rPr>
                <w:rFonts w:hint="eastAsia" w:ascii="宋体" w:hAnsi="宋体" w:eastAsia="宋体" w:cs="宋体"/>
                <w:szCs w:val="21"/>
              </w:rPr>
              <w:t>1.1.2</w:t>
            </w:r>
          </w:p>
        </w:tc>
        <w:tc>
          <w:tcPr>
            <w:tcW w:w="2474" w:type="dxa"/>
            <w:vAlign w:val="center"/>
          </w:tcPr>
          <w:p w14:paraId="1E99158C">
            <w:pPr>
              <w:spacing w:line="360" w:lineRule="exact"/>
              <w:rPr>
                <w:rFonts w:hint="eastAsia" w:ascii="宋体" w:hAnsi="宋体" w:eastAsia="宋体" w:cs="宋体"/>
                <w:szCs w:val="21"/>
                <w:lang w:eastAsia="zh-CN"/>
              </w:rPr>
            </w:pPr>
            <w:r>
              <w:rPr>
                <w:rFonts w:hint="eastAsia" w:ascii="宋体" w:hAnsi="宋体" w:eastAsia="宋体" w:cs="宋体"/>
                <w:szCs w:val="21"/>
                <w:lang w:eastAsia="zh-CN"/>
              </w:rPr>
              <w:t>发包人</w:t>
            </w:r>
          </w:p>
        </w:tc>
        <w:tc>
          <w:tcPr>
            <w:tcW w:w="5624" w:type="dxa"/>
            <w:vAlign w:val="center"/>
          </w:tcPr>
          <w:p w14:paraId="558CB677">
            <w:pPr>
              <w:pStyle w:val="112"/>
              <w:wordWrap w:val="0"/>
              <w:topLinePunct/>
              <w:autoSpaceDE/>
              <w:ind w:firstLine="0" w:firstLineChars="0"/>
              <w:rPr>
                <w:rFonts w:hint="eastAsia" w:ascii="宋体" w:hAnsi="宋体" w:eastAsia="宋体" w:cs="宋体"/>
                <w:bCs/>
                <w:strike/>
                <w:u w:val="single"/>
              </w:rPr>
            </w:pPr>
            <w:r>
              <w:rPr>
                <w:rFonts w:hint="eastAsia" w:ascii="宋体" w:hAnsi="宋体" w:eastAsia="宋体" w:cs="宋体"/>
                <w:bCs/>
              </w:rPr>
              <w:t>□详见发包公告</w:t>
            </w:r>
          </w:p>
          <w:p w14:paraId="31A4CAAE">
            <w:pPr>
              <w:spacing w:line="360" w:lineRule="exact"/>
              <w:rPr>
                <w:rFonts w:hint="eastAsia" w:ascii="宋体" w:hAnsi="宋体" w:eastAsia="宋体" w:cs="宋体"/>
                <w:szCs w:val="21"/>
              </w:rPr>
            </w:pPr>
            <w:r>
              <w:rPr>
                <w:rFonts w:hint="eastAsia" w:ascii="宋体" w:hAnsi="宋体" w:eastAsia="宋体" w:cs="宋体"/>
                <w:bCs/>
              </w:rPr>
              <w:t>□详见竞包邀请书</w:t>
            </w:r>
          </w:p>
        </w:tc>
      </w:tr>
      <w:tr w14:paraId="05F650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4E65D1D3">
            <w:pPr>
              <w:spacing w:line="360" w:lineRule="exact"/>
              <w:jc w:val="center"/>
              <w:rPr>
                <w:rFonts w:hint="eastAsia" w:ascii="宋体" w:hAnsi="宋体" w:eastAsia="宋体" w:cs="宋体"/>
                <w:szCs w:val="21"/>
              </w:rPr>
            </w:pPr>
            <w:r>
              <w:rPr>
                <w:rFonts w:hint="eastAsia" w:ascii="宋体" w:hAnsi="宋体" w:eastAsia="宋体" w:cs="宋体"/>
                <w:szCs w:val="21"/>
              </w:rPr>
              <w:t>1.1.3</w:t>
            </w:r>
          </w:p>
        </w:tc>
        <w:tc>
          <w:tcPr>
            <w:tcW w:w="2474" w:type="dxa"/>
            <w:vAlign w:val="center"/>
          </w:tcPr>
          <w:p w14:paraId="2C081317">
            <w:pPr>
              <w:spacing w:line="360" w:lineRule="exact"/>
              <w:rPr>
                <w:rFonts w:hint="eastAsia" w:ascii="宋体" w:hAnsi="宋体" w:eastAsia="宋体" w:cs="宋体"/>
                <w:szCs w:val="21"/>
                <w:lang w:eastAsia="zh-CN"/>
              </w:rPr>
            </w:pPr>
            <w:r>
              <w:rPr>
                <w:rFonts w:hint="eastAsia" w:ascii="宋体" w:hAnsi="宋体" w:cs="宋体"/>
                <w:szCs w:val="21"/>
                <w:lang w:eastAsia="zh-CN"/>
              </w:rPr>
              <w:t>中介代理机构</w:t>
            </w:r>
          </w:p>
        </w:tc>
        <w:tc>
          <w:tcPr>
            <w:tcW w:w="5624" w:type="dxa"/>
            <w:vAlign w:val="center"/>
          </w:tcPr>
          <w:p w14:paraId="4912A7B8">
            <w:pPr>
              <w:pStyle w:val="112"/>
              <w:wordWrap w:val="0"/>
              <w:topLinePunct/>
              <w:autoSpaceDE/>
              <w:ind w:firstLine="0" w:firstLineChars="0"/>
              <w:rPr>
                <w:rFonts w:hint="eastAsia" w:ascii="宋体" w:hAnsi="宋体" w:eastAsia="宋体" w:cs="宋体"/>
                <w:bCs/>
                <w:strike/>
                <w:u w:val="single"/>
              </w:rPr>
            </w:pPr>
            <w:r>
              <w:rPr>
                <w:rFonts w:hint="eastAsia" w:ascii="宋体" w:hAnsi="宋体" w:eastAsia="宋体" w:cs="宋体"/>
                <w:bCs/>
              </w:rPr>
              <w:t>□详见发包公告</w:t>
            </w:r>
          </w:p>
          <w:p w14:paraId="70483357">
            <w:pPr>
              <w:spacing w:line="360" w:lineRule="exact"/>
              <w:rPr>
                <w:rFonts w:hint="eastAsia" w:ascii="宋体" w:hAnsi="宋体" w:eastAsia="宋体" w:cs="宋体"/>
                <w:szCs w:val="21"/>
              </w:rPr>
            </w:pPr>
            <w:r>
              <w:rPr>
                <w:rFonts w:hint="eastAsia" w:ascii="宋体" w:hAnsi="宋体" w:eastAsia="宋体" w:cs="宋体"/>
                <w:bCs/>
              </w:rPr>
              <w:t>□详见竞包邀请书</w:t>
            </w:r>
          </w:p>
        </w:tc>
      </w:tr>
      <w:tr w14:paraId="00F6B8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46E3B604">
            <w:pPr>
              <w:spacing w:line="360" w:lineRule="exact"/>
              <w:jc w:val="center"/>
              <w:rPr>
                <w:rFonts w:hint="eastAsia" w:ascii="宋体" w:hAnsi="宋体" w:eastAsia="宋体" w:cs="宋体"/>
                <w:szCs w:val="21"/>
              </w:rPr>
            </w:pPr>
            <w:r>
              <w:rPr>
                <w:rFonts w:hint="eastAsia" w:ascii="宋体" w:hAnsi="宋体" w:eastAsia="宋体" w:cs="宋体"/>
                <w:szCs w:val="21"/>
              </w:rPr>
              <w:t>1.1.4</w:t>
            </w:r>
          </w:p>
        </w:tc>
        <w:tc>
          <w:tcPr>
            <w:tcW w:w="2474" w:type="dxa"/>
            <w:vAlign w:val="center"/>
          </w:tcPr>
          <w:p w14:paraId="1CB0F68A">
            <w:pPr>
              <w:spacing w:line="360" w:lineRule="exact"/>
              <w:rPr>
                <w:rFonts w:hint="eastAsia" w:ascii="宋体" w:hAnsi="宋体" w:eastAsia="宋体" w:cs="宋体"/>
                <w:szCs w:val="21"/>
              </w:rPr>
            </w:pPr>
            <w:r>
              <w:rPr>
                <w:rFonts w:hint="eastAsia" w:ascii="宋体" w:hAnsi="宋体" w:eastAsia="宋体" w:cs="宋体"/>
                <w:szCs w:val="21"/>
                <w:lang w:val="en-US" w:eastAsia="zh-CN"/>
              </w:rPr>
              <w:t>发包</w:t>
            </w:r>
            <w:r>
              <w:rPr>
                <w:rFonts w:hint="eastAsia" w:ascii="宋体" w:hAnsi="宋体" w:eastAsia="宋体" w:cs="宋体"/>
                <w:szCs w:val="21"/>
              </w:rPr>
              <w:t>项目名称</w:t>
            </w:r>
          </w:p>
        </w:tc>
        <w:tc>
          <w:tcPr>
            <w:tcW w:w="5624" w:type="dxa"/>
            <w:vAlign w:val="center"/>
          </w:tcPr>
          <w:p w14:paraId="1A08C023">
            <w:pPr>
              <w:spacing w:line="360" w:lineRule="exact"/>
              <w:rPr>
                <w:rFonts w:hint="eastAsia" w:ascii="宋体" w:hAnsi="宋体" w:eastAsia="宋体" w:cs="宋体"/>
                <w:szCs w:val="21"/>
              </w:rPr>
            </w:pPr>
            <w:r>
              <w:rPr>
                <w:rFonts w:hint="eastAsia" w:ascii="宋体" w:hAnsi="宋体" w:eastAsia="宋体" w:cs="宋体"/>
                <w:szCs w:val="21"/>
              </w:rPr>
              <w:t>___________________</w:t>
            </w:r>
          </w:p>
        </w:tc>
      </w:tr>
      <w:tr w14:paraId="16B8B20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3DB79027">
            <w:pPr>
              <w:spacing w:line="360" w:lineRule="exact"/>
              <w:jc w:val="center"/>
              <w:rPr>
                <w:rFonts w:hint="eastAsia" w:ascii="宋体" w:hAnsi="宋体" w:eastAsia="宋体" w:cs="宋体"/>
                <w:szCs w:val="21"/>
              </w:rPr>
            </w:pPr>
            <w:r>
              <w:rPr>
                <w:rFonts w:hint="eastAsia" w:ascii="宋体" w:hAnsi="宋体" w:eastAsia="宋体" w:cs="宋体"/>
                <w:szCs w:val="21"/>
              </w:rPr>
              <w:t>1.1.5</w:t>
            </w:r>
          </w:p>
        </w:tc>
        <w:tc>
          <w:tcPr>
            <w:tcW w:w="2474" w:type="dxa"/>
            <w:vAlign w:val="center"/>
          </w:tcPr>
          <w:p w14:paraId="7F7EF3FF">
            <w:pPr>
              <w:spacing w:line="360" w:lineRule="exact"/>
              <w:rPr>
                <w:rFonts w:hint="eastAsia" w:ascii="宋体" w:hAnsi="宋体" w:eastAsia="宋体" w:cs="宋体"/>
                <w:szCs w:val="21"/>
              </w:rPr>
            </w:pPr>
            <w:r>
              <w:rPr>
                <w:rFonts w:hint="eastAsia" w:ascii="宋体" w:hAnsi="宋体" w:eastAsia="宋体" w:cs="宋体"/>
                <w:szCs w:val="21"/>
              </w:rPr>
              <w:t>标段建设地点</w:t>
            </w:r>
          </w:p>
        </w:tc>
        <w:tc>
          <w:tcPr>
            <w:tcW w:w="5624" w:type="dxa"/>
            <w:vAlign w:val="center"/>
          </w:tcPr>
          <w:p w14:paraId="19AA6202">
            <w:pPr>
              <w:pStyle w:val="112"/>
              <w:wordWrap w:val="0"/>
              <w:topLinePunct/>
              <w:autoSpaceDE/>
              <w:ind w:firstLine="0" w:firstLineChars="0"/>
              <w:rPr>
                <w:rFonts w:hint="eastAsia" w:ascii="宋体" w:hAnsi="宋体" w:eastAsia="宋体" w:cs="宋体"/>
                <w:bCs/>
                <w:strike/>
                <w:u w:val="single"/>
              </w:rPr>
            </w:pPr>
            <w:r>
              <w:rPr>
                <w:rFonts w:hint="eastAsia" w:ascii="宋体" w:hAnsi="宋体" w:eastAsia="宋体" w:cs="宋体"/>
                <w:bCs/>
              </w:rPr>
              <w:t>□详见发包公告</w:t>
            </w:r>
          </w:p>
          <w:p w14:paraId="3B3B621A">
            <w:pPr>
              <w:spacing w:line="360" w:lineRule="exact"/>
              <w:rPr>
                <w:rFonts w:hint="eastAsia" w:ascii="宋体" w:hAnsi="宋体" w:eastAsia="宋体" w:cs="宋体"/>
                <w:szCs w:val="21"/>
              </w:rPr>
            </w:pPr>
            <w:r>
              <w:rPr>
                <w:rFonts w:hint="eastAsia" w:ascii="宋体" w:hAnsi="宋体" w:eastAsia="宋体" w:cs="宋体"/>
                <w:bCs/>
              </w:rPr>
              <w:t>□详见竞包邀请书</w:t>
            </w:r>
          </w:p>
        </w:tc>
      </w:tr>
      <w:tr w14:paraId="3D3B311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297238A1">
            <w:pPr>
              <w:spacing w:line="360" w:lineRule="exact"/>
              <w:jc w:val="center"/>
              <w:rPr>
                <w:rFonts w:hint="eastAsia" w:ascii="宋体" w:hAnsi="宋体" w:eastAsia="宋体" w:cs="宋体"/>
                <w:szCs w:val="21"/>
              </w:rPr>
            </w:pPr>
            <w:r>
              <w:rPr>
                <w:rFonts w:hint="eastAsia" w:ascii="宋体" w:hAnsi="宋体" w:eastAsia="宋体" w:cs="宋体"/>
                <w:szCs w:val="21"/>
              </w:rPr>
              <w:t>1.2.1</w:t>
            </w:r>
          </w:p>
        </w:tc>
        <w:tc>
          <w:tcPr>
            <w:tcW w:w="2474" w:type="dxa"/>
            <w:vAlign w:val="center"/>
          </w:tcPr>
          <w:p w14:paraId="11E02C86">
            <w:pPr>
              <w:spacing w:line="360" w:lineRule="exact"/>
              <w:rPr>
                <w:rFonts w:hint="eastAsia" w:ascii="宋体" w:hAnsi="宋体" w:eastAsia="宋体" w:cs="宋体"/>
                <w:szCs w:val="21"/>
              </w:rPr>
            </w:pPr>
            <w:r>
              <w:rPr>
                <w:rFonts w:hint="eastAsia" w:ascii="宋体" w:hAnsi="宋体" w:eastAsia="宋体" w:cs="宋体"/>
                <w:szCs w:val="21"/>
              </w:rPr>
              <w:t>资金来源及比例</w:t>
            </w:r>
          </w:p>
        </w:tc>
        <w:tc>
          <w:tcPr>
            <w:tcW w:w="5624" w:type="dxa"/>
            <w:vAlign w:val="center"/>
          </w:tcPr>
          <w:p w14:paraId="7A3665B5">
            <w:pPr>
              <w:pStyle w:val="112"/>
              <w:wordWrap w:val="0"/>
              <w:topLinePunct/>
              <w:autoSpaceDE/>
              <w:ind w:firstLine="0" w:firstLineChars="0"/>
              <w:rPr>
                <w:rFonts w:hint="eastAsia" w:ascii="宋体" w:hAnsi="宋体" w:eastAsia="宋体" w:cs="宋体"/>
                <w:bCs/>
                <w:strike/>
                <w:u w:val="single"/>
              </w:rPr>
            </w:pPr>
            <w:r>
              <w:rPr>
                <w:rFonts w:hint="eastAsia" w:ascii="宋体" w:hAnsi="宋体" w:eastAsia="宋体" w:cs="宋体"/>
                <w:bCs/>
              </w:rPr>
              <w:t>□详见发包公告</w:t>
            </w:r>
          </w:p>
          <w:p w14:paraId="13469935">
            <w:pPr>
              <w:spacing w:line="360" w:lineRule="exact"/>
              <w:rPr>
                <w:rFonts w:hint="eastAsia" w:ascii="宋体" w:hAnsi="宋体" w:eastAsia="宋体" w:cs="宋体"/>
                <w:szCs w:val="21"/>
              </w:rPr>
            </w:pPr>
            <w:r>
              <w:rPr>
                <w:rFonts w:hint="eastAsia" w:ascii="宋体" w:hAnsi="宋体" w:eastAsia="宋体" w:cs="宋体"/>
                <w:bCs/>
              </w:rPr>
              <w:t>□详见竞包邀请书</w:t>
            </w:r>
          </w:p>
        </w:tc>
      </w:tr>
      <w:tr w14:paraId="537946A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07413629">
            <w:pPr>
              <w:spacing w:line="360" w:lineRule="exact"/>
              <w:jc w:val="center"/>
              <w:rPr>
                <w:rFonts w:hint="eastAsia" w:ascii="宋体" w:hAnsi="宋体" w:eastAsia="宋体" w:cs="宋体"/>
                <w:szCs w:val="21"/>
              </w:rPr>
            </w:pPr>
            <w:r>
              <w:rPr>
                <w:rFonts w:hint="eastAsia" w:ascii="宋体" w:hAnsi="宋体" w:eastAsia="宋体" w:cs="宋体"/>
                <w:szCs w:val="21"/>
              </w:rPr>
              <w:t>1.2.2</w:t>
            </w:r>
          </w:p>
        </w:tc>
        <w:tc>
          <w:tcPr>
            <w:tcW w:w="2474" w:type="dxa"/>
            <w:vAlign w:val="center"/>
          </w:tcPr>
          <w:p w14:paraId="067E9BE2">
            <w:pPr>
              <w:spacing w:line="360" w:lineRule="exact"/>
              <w:rPr>
                <w:rFonts w:hint="eastAsia" w:ascii="宋体" w:hAnsi="宋体" w:eastAsia="宋体" w:cs="宋体"/>
                <w:szCs w:val="21"/>
              </w:rPr>
            </w:pPr>
            <w:r>
              <w:rPr>
                <w:rFonts w:hint="eastAsia" w:ascii="宋体" w:hAnsi="宋体" w:eastAsia="宋体" w:cs="宋体"/>
                <w:szCs w:val="21"/>
              </w:rPr>
              <w:t>资金落实情况</w:t>
            </w:r>
          </w:p>
        </w:tc>
        <w:tc>
          <w:tcPr>
            <w:tcW w:w="5624" w:type="dxa"/>
            <w:vAlign w:val="center"/>
          </w:tcPr>
          <w:p w14:paraId="2B765204">
            <w:pPr>
              <w:spacing w:line="360" w:lineRule="exact"/>
              <w:rPr>
                <w:rFonts w:hint="eastAsia" w:ascii="宋体" w:hAnsi="宋体" w:eastAsia="宋体" w:cs="宋体"/>
                <w:szCs w:val="21"/>
              </w:rPr>
            </w:pPr>
            <w:bookmarkStart w:id="78" w:name="EBd76a357e5b6b44b09d8a46e3b51387d4"/>
            <w:r>
              <w:rPr>
                <w:rFonts w:hint="eastAsia" w:ascii="宋体" w:hAnsi="宋体" w:eastAsia="宋体" w:cs="宋体"/>
                <w:szCs w:val="21"/>
              </w:rPr>
              <w:t>已落实</w:t>
            </w:r>
            <w:bookmarkEnd w:id="78"/>
          </w:p>
        </w:tc>
      </w:tr>
      <w:tr w14:paraId="0EF6E01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dxa"/>
            <w:vAlign w:val="center"/>
          </w:tcPr>
          <w:p w14:paraId="21CBE4BA">
            <w:pPr>
              <w:spacing w:line="360" w:lineRule="exact"/>
              <w:jc w:val="center"/>
              <w:rPr>
                <w:rFonts w:hint="eastAsia" w:ascii="宋体" w:hAnsi="宋体" w:eastAsia="宋体" w:cs="宋体"/>
                <w:szCs w:val="21"/>
              </w:rPr>
            </w:pPr>
            <w:r>
              <w:rPr>
                <w:rFonts w:hint="eastAsia" w:ascii="宋体" w:hAnsi="宋体" w:eastAsia="宋体" w:cs="宋体"/>
                <w:szCs w:val="21"/>
              </w:rPr>
              <w:t>1.3.1</w:t>
            </w:r>
          </w:p>
        </w:tc>
        <w:tc>
          <w:tcPr>
            <w:tcW w:w="2474" w:type="dxa"/>
            <w:vAlign w:val="center"/>
          </w:tcPr>
          <w:p w14:paraId="376F83C4">
            <w:pPr>
              <w:spacing w:line="360" w:lineRule="exact"/>
              <w:rPr>
                <w:rFonts w:hint="eastAsia" w:ascii="宋体" w:hAnsi="宋体" w:eastAsia="宋体" w:cs="宋体"/>
                <w:szCs w:val="21"/>
              </w:rPr>
            </w:pPr>
            <w:r>
              <w:rPr>
                <w:rFonts w:hint="eastAsia" w:ascii="宋体" w:hAnsi="宋体" w:eastAsia="宋体" w:cs="宋体"/>
                <w:szCs w:val="21"/>
                <w:lang w:val="en-US" w:eastAsia="zh-CN"/>
              </w:rPr>
              <w:t>发包</w:t>
            </w:r>
            <w:r>
              <w:rPr>
                <w:rFonts w:hint="eastAsia" w:ascii="宋体" w:hAnsi="宋体" w:eastAsia="宋体" w:cs="宋体"/>
                <w:szCs w:val="21"/>
              </w:rPr>
              <w:t>范围</w:t>
            </w:r>
          </w:p>
        </w:tc>
        <w:tc>
          <w:tcPr>
            <w:tcW w:w="5624" w:type="dxa"/>
            <w:vAlign w:val="center"/>
          </w:tcPr>
          <w:p w14:paraId="29FEF3AB">
            <w:pPr>
              <w:pStyle w:val="112"/>
              <w:wordWrap w:val="0"/>
              <w:topLinePunct/>
              <w:autoSpaceDE/>
              <w:ind w:firstLine="0" w:firstLineChars="0"/>
              <w:rPr>
                <w:rFonts w:hint="eastAsia" w:ascii="宋体" w:hAnsi="宋体" w:eastAsia="宋体" w:cs="宋体"/>
                <w:bCs/>
                <w:strike/>
                <w:u w:val="single"/>
              </w:rPr>
            </w:pPr>
            <w:r>
              <w:rPr>
                <w:rFonts w:hint="eastAsia" w:ascii="宋体" w:hAnsi="宋体" w:eastAsia="宋体" w:cs="宋体"/>
                <w:bCs/>
              </w:rPr>
              <w:t>□详见发包公告</w:t>
            </w:r>
          </w:p>
          <w:p w14:paraId="4D0607B2">
            <w:pPr>
              <w:spacing w:line="240" w:lineRule="auto"/>
              <w:rPr>
                <w:rFonts w:hint="eastAsia" w:ascii="宋体" w:hAnsi="宋体" w:eastAsia="宋体" w:cs="宋体"/>
                <w:szCs w:val="21"/>
              </w:rPr>
            </w:pPr>
            <w:r>
              <w:rPr>
                <w:rFonts w:hint="eastAsia" w:ascii="宋体" w:hAnsi="宋体" w:eastAsia="宋体" w:cs="宋体"/>
                <w:bCs/>
              </w:rPr>
              <w:t>□详见竞包邀请书</w:t>
            </w:r>
          </w:p>
        </w:tc>
      </w:tr>
      <w:tr w14:paraId="5F4053A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67ACE126">
            <w:pPr>
              <w:spacing w:line="360" w:lineRule="exact"/>
              <w:jc w:val="center"/>
              <w:rPr>
                <w:rFonts w:hint="eastAsia" w:ascii="宋体" w:hAnsi="宋体" w:eastAsia="宋体" w:cs="宋体"/>
                <w:szCs w:val="21"/>
              </w:rPr>
            </w:pPr>
            <w:r>
              <w:rPr>
                <w:rFonts w:hint="eastAsia" w:ascii="宋体" w:hAnsi="宋体" w:eastAsia="宋体" w:cs="宋体"/>
                <w:szCs w:val="21"/>
              </w:rPr>
              <w:t>1.3.2</w:t>
            </w:r>
          </w:p>
        </w:tc>
        <w:tc>
          <w:tcPr>
            <w:tcW w:w="2474" w:type="dxa"/>
            <w:vAlign w:val="center"/>
          </w:tcPr>
          <w:p w14:paraId="5BCC7BD0">
            <w:pPr>
              <w:spacing w:line="360" w:lineRule="exact"/>
              <w:rPr>
                <w:rFonts w:hint="eastAsia" w:ascii="宋体" w:hAnsi="宋体" w:eastAsia="宋体" w:cs="宋体"/>
                <w:szCs w:val="21"/>
              </w:rPr>
            </w:pPr>
            <w:r>
              <w:rPr>
                <w:rFonts w:hint="eastAsia" w:ascii="宋体" w:hAnsi="宋体" w:eastAsia="宋体" w:cs="宋体"/>
                <w:szCs w:val="21"/>
              </w:rPr>
              <w:t>计划工期</w:t>
            </w:r>
          </w:p>
        </w:tc>
        <w:tc>
          <w:tcPr>
            <w:tcW w:w="5624" w:type="dxa"/>
            <w:vAlign w:val="center"/>
          </w:tcPr>
          <w:p w14:paraId="79FAE8E2">
            <w:pPr>
              <w:spacing w:line="240" w:lineRule="auto"/>
              <w:rPr>
                <w:rFonts w:hint="eastAsia" w:ascii="宋体" w:hAnsi="宋体" w:eastAsia="宋体" w:cs="宋体"/>
                <w:szCs w:val="21"/>
              </w:rPr>
            </w:pPr>
            <w:r>
              <w:rPr>
                <w:rFonts w:hint="eastAsia" w:ascii="宋体" w:hAnsi="宋体" w:eastAsia="宋体" w:cs="宋体"/>
                <w:szCs w:val="21"/>
              </w:rPr>
              <w:t>计划工期：________日历天</w:t>
            </w:r>
          </w:p>
          <w:p w14:paraId="4B188A8E">
            <w:pPr>
              <w:spacing w:line="240" w:lineRule="auto"/>
              <w:rPr>
                <w:rFonts w:hint="eastAsia" w:ascii="宋体" w:hAnsi="宋体" w:eastAsia="宋体" w:cs="宋体"/>
                <w:szCs w:val="21"/>
              </w:rPr>
            </w:pPr>
            <w:r>
              <w:rPr>
                <w:rFonts w:hint="eastAsia" w:ascii="宋体" w:hAnsi="宋体" w:eastAsia="宋体" w:cs="宋体"/>
                <w:szCs w:val="21"/>
              </w:rPr>
              <w:t>计划开工日期：</w:t>
            </w:r>
            <w:bookmarkStart w:id="79" w:name="EB027b16b0ada84edd9d05820b3bb965f0"/>
            <w:r>
              <w:rPr>
                <w:rFonts w:hint="eastAsia" w:ascii="宋体" w:hAnsi="宋体" w:eastAsia="宋体" w:cs="宋体"/>
                <w:szCs w:val="21"/>
              </w:rPr>
              <w:t>____年___月___日</w:t>
            </w:r>
            <w:bookmarkEnd w:id="79"/>
          </w:p>
          <w:p w14:paraId="789A1D21">
            <w:pPr>
              <w:spacing w:line="240" w:lineRule="auto"/>
              <w:rPr>
                <w:rFonts w:hint="eastAsia" w:ascii="宋体" w:hAnsi="宋体" w:eastAsia="宋体" w:cs="宋体"/>
                <w:szCs w:val="21"/>
              </w:rPr>
            </w:pPr>
            <w:r>
              <w:rPr>
                <w:rFonts w:hint="eastAsia" w:ascii="宋体" w:hAnsi="宋体" w:eastAsia="宋体" w:cs="宋体"/>
                <w:szCs w:val="21"/>
              </w:rPr>
              <w:t>计划交工日期：____年___月___日</w:t>
            </w:r>
          </w:p>
          <w:p w14:paraId="7E52860B">
            <w:pPr>
              <w:spacing w:line="240" w:lineRule="auto"/>
              <w:rPr>
                <w:rFonts w:hint="eastAsia" w:ascii="宋体" w:hAnsi="宋体" w:eastAsia="宋体" w:cs="宋体"/>
                <w:szCs w:val="21"/>
                <w:u w:val="single"/>
              </w:rPr>
            </w:pPr>
            <w:r>
              <w:rPr>
                <w:rFonts w:hint="eastAsia" w:ascii="宋体" w:hAnsi="宋体" w:eastAsia="宋体" w:cs="宋体"/>
                <w:szCs w:val="21"/>
              </w:rPr>
              <w:t>节点工期要求：__________________</w:t>
            </w:r>
          </w:p>
        </w:tc>
      </w:tr>
      <w:tr w14:paraId="16B99FC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08F74ECA">
            <w:pPr>
              <w:spacing w:line="360" w:lineRule="exact"/>
              <w:jc w:val="center"/>
              <w:rPr>
                <w:rFonts w:hint="eastAsia" w:ascii="宋体" w:hAnsi="宋体" w:eastAsia="宋体" w:cs="宋体"/>
                <w:szCs w:val="21"/>
              </w:rPr>
            </w:pPr>
            <w:r>
              <w:rPr>
                <w:rFonts w:hint="eastAsia" w:ascii="宋体" w:hAnsi="宋体" w:eastAsia="宋体" w:cs="宋体"/>
                <w:szCs w:val="21"/>
              </w:rPr>
              <w:t>1.3.3</w:t>
            </w:r>
          </w:p>
        </w:tc>
        <w:tc>
          <w:tcPr>
            <w:tcW w:w="2474" w:type="dxa"/>
            <w:vAlign w:val="center"/>
          </w:tcPr>
          <w:p w14:paraId="1B93517A">
            <w:pPr>
              <w:spacing w:line="360" w:lineRule="exact"/>
              <w:rPr>
                <w:rFonts w:hint="eastAsia" w:ascii="宋体" w:hAnsi="宋体" w:eastAsia="宋体" w:cs="宋体"/>
                <w:szCs w:val="21"/>
              </w:rPr>
            </w:pPr>
            <w:r>
              <w:rPr>
                <w:rFonts w:hint="eastAsia" w:ascii="宋体" w:hAnsi="宋体" w:eastAsia="宋体" w:cs="宋体"/>
                <w:szCs w:val="21"/>
              </w:rPr>
              <w:t>质量要求</w:t>
            </w:r>
          </w:p>
        </w:tc>
        <w:tc>
          <w:tcPr>
            <w:tcW w:w="5624" w:type="dxa"/>
            <w:vAlign w:val="center"/>
          </w:tcPr>
          <w:p w14:paraId="3D6C3C08">
            <w:pPr>
              <w:spacing w:line="360" w:lineRule="exact"/>
              <w:rPr>
                <w:rFonts w:hint="eastAsia" w:ascii="宋体" w:hAnsi="宋体" w:eastAsia="宋体" w:cs="宋体"/>
                <w:szCs w:val="21"/>
                <w:lang w:val="en-US" w:eastAsia="zh-CN"/>
              </w:rPr>
            </w:pPr>
            <w:r>
              <w:rPr>
                <w:rFonts w:hint="eastAsia" w:ascii="宋体" w:hAnsi="宋体" w:eastAsia="宋体" w:cs="宋体"/>
                <w:szCs w:val="21"/>
              </w:rPr>
              <w:t>标段工程交工验收的质量评定：</w:t>
            </w:r>
            <w:r>
              <w:rPr>
                <w:rFonts w:hint="eastAsia" w:ascii="宋体" w:hAnsi="宋体" w:eastAsia="宋体" w:cs="宋体"/>
                <w:szCs w:val="21"/>
                <w:u w:val="single"/>
                <w:lang w:val="en-US" w:eastAsia="zh-CN"/>
              </w:rPr>
              <w:t xml:space="preserve">     </w:t>
            </w:r>
          </w:p>
          <w:p w14:paraId="3ABCB66E">
            <w:pPr>
              <w:spacing w:line="360" w:lineRule="exact"/>
              <w:rPr>
                <w:rFonts w:hint="eastAsia" w:ascii="宋体" w:hAnsi="宋体" w:eastAsia="宋体" w:cs="宋体"/>
                <w:szCs w:val="21"/>
                <w:lang w:val="en-US" w:eastAsia="zh-CN"/>
              </w:rPr>
            </w:pPr>
            <w:r>
              <w:rPr>
                <w:rFonts w:hint="eastAsia" w:ascii="宋体" w:hAnsi="宋体" w:eastAsia="宋体" w:cs="宋体"/>
                <w:szCs w:val="21"/>
              </w:rPr>
              <w:t>标段工程竣工验收的质量评定：</w:t>
            </w:r>
            <w:r>
              <w:rPr>
                <w:rFonts w:hint="eastAsia" w:ascii="宋体" w:hAnsi="宋体" w:eastAsia="宋体" w:cs="宋体"/>
                <w:szCs w:val="21"/>
                <w:u w:val="single"/>
                <w:lang w:val="en-US" w:eastAsia="zh-CN"/>
              </w:rPr>
              <w:t xml:space="preserve">     </w:t>
            </w:r>
          </w:p>
        </w:tc>
      </w:tr>
      <w:tr w14:paraId="303DF7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734CB262">
            <w:pPr>
              <w:spacing w:line="360" w:lineRule="exact"/>
              <w:jc w:val="center"/>
              <w:rPr>
                <w:rFonts w:hint="eastAsia" w:ascii="宋体" w:hAnsi="宋体" w:eastAsia="宋体" w:cs="宋体"/>
                <w:szCs w:val="21"/>
              </w:rPr>
            </w:pPr>
            <w:r>
              <w:rPr>
                <w:rFonts w:hint="eastAsia" w:ascii="宋体" w:hAnsi="宋体" w:eastAsia="宋体" w:cs="宋体"/>
                <w:szCs w:val="21"/>
              </w:rPr>
              <w:t>1.3.4</w:t>
            </w:r>
          </w:p>
        </w:tc>
        <w:tc>
          <w:tcPr>
            <w:tcW w:w="2474" w:type="dxa"/>
            <w:vAlign w:val="center"/>
          </w:tcPr>
          <w:p w14:paraId="70A0E023">
            <w:pPr>
              <w:spacing w:line="360" w:lineRule="exact"/>
              <w:rPr>
                <w:rFonts w:hint="eastAsia" w:ascii="宋体" w:hAnsi="宋体" w:eastAsia="宋体" w:cs="宋体"/>
                <w:szCs w:val="21"/>
              </w:rPr>
            </w:pPr>
            <w:r>
              <w:rPr>
                <w:rFonts w:hint="eastAsia" w:ascii="宋体" w:hAnsi="宋体" w:eastAsia="宋体" w:cs="宋体"/>
                <w:szCs w:val="21"/>
              </w:rPr>
              <w:t>安全目标</w:t>
            </w:r>
          </w:p>
        </w:tc>
        <w:tc>
          <w:tcPr>
            <w:tcW w:w="5624" w:type="dxa"/>
            <w:vAlign w:val="center"/>
          </w:tcPr>
          <w:p w14:paraId="57727E35">
            <w:pPr>
              <w:spacing w:line="360" w:lineRule="exact"/>
              <w:rPr>
                <w:rFonts w:hint="eastAsia" w:ascii="宋体" w:hAnsi="宋体" w:eastAsia="宋体" w:cs="宋体"/>
                <w:szCs w:val="21"/>
              </w:rPr>
            </w:pPr>
            <w:r>
              <w:rPr>
                <w:rFonts w:hint="eastAsia" w:ascii="宋体" w:hAnsi="宋体" w:eastAsia="宋体" w:cs="宋体"/>
                <w:szCs w:val="21"/>
                <w:u w:val="single"/>
              </w:rPr>
              <w:t>不发生较大及以上生产安全责任事故，人员零死亡</w:t>
            </w:r>
          </w:p>
        </w:tc>
      </w:tr>
      <w:tr w14:paraId="64858EB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17BD913F">
            <w:pPr>
              <w:spacing w:line="360" w:lineRule="exact"/>
              <w:jc w:val="center"/>
              <w:rPr>
                <w:rFonts w:hint="eastAsia" w:ascii="宋体" w:hAnsi="宋体" w:eastAsia="宋体" w:cs="宋体"/>
                <w:szCs w:val="21"/>
              </w:rPr>
            </w:pPr>
            <w:r>
              <w:rPr>
                <w:rFonts w:hint="eastAsia" w:ascii="宋体" w:hAnsi="宋体" w:eastAsia="宋体" w:cs="宋体"/>
                <w:szCs w:val="21"/>
              </w:rPr>
              <w:t>1.4.1</w:t>
            </w:r>
          </w:p>
        </w:tc>
        <w:tc>
          <w:tcPr>
            <w:tcW w:w="2474" w:type="dxa"/>
            <w:vAlign w:val="center"/>
          </w:tcPr>
          <w:p w14:paraId="6E00FBC2">
            <w:pPr>
              <w:spacing w:line="360" w:lineRule="exact"/>
              <w:rPr>
                <w:rFonts w:hint="eastAsia" w:ascii="宋体" w:hAnsi="宋体" w:eastAsia="宋体" w:cs="宋体"/>
                <w:szCs w:val="21"/>
              </w:rPr>
            </w:pPr>
            <w:r>
              <w:rPr>
                <w:rFonts w:hint="eastAsia" w:ascii="宋体" w:hAnsi="宋体" w:eastAsia="宋体" w:cs="宋体"/>
                <w:szCs w:val="21"/>
                <w:lang w:val="en-US" w:eastAsia="zh-CN"/>
              </w:rPr>
              <w:t>竞包</w:t>
            </w:r>
            <w:r>
              <w:rPr>
                <w:rFonts w:hint="eastAsia" w:ascii="宋体" w:hAnsi="宋体" w:eastAsia="宋体" w:cs="宋体"/>
                <w:szCs w:val="21"/>
              </w:rPr>
              <w:t>人资质条件</w:t>
            </w:r>
          </w:p>
        </w:tc>
        <w:tc>
          <w:tcPr>
            <w:tcW w:w="5624" w:type="dxa"/>
            <w:vAlign w:val="center"/>
          </w:tcPr>
          <w:p w14:paraId="1224CC01">
            <w:pPr>
              <w:spacing w:line="240" w:lineRule="auto"/>
              <w:rPr>
                <w:rFonts w:hint="eastAsia" w:ascii="宋体" w:hAnsi="宋体" w:eastAsia="宋体" w:cs="宋体"/>
                <w:szCs w:val="21"/>
              </w:rPr>
            </w:pPr>
            <w:r>
              <w:rPr>
                <w:rFonts w:hint="eastAsia" w:ascii="宋体" w:hAnsi="宋体" w:eastAsia="宋体" w:cs="宋体"/>
                <w:szCs w:val="21"/>
              </w:rPr>
              <w:t>资质要求：见附录1</w:t>
            </w:r>
          </w:p>
          <w:p w14:paraId="42D147EE">
            <w:pPr>
              <w:spacing w:line="240" w:lineRule="auto"/>
              <w:rPr>
                <w:rFonts w:hint="eastAsia" w:ascii="宋体" w:hAnsi="宋体" w:eastAsia="宋体" w:cs="宋体"/>
                <w:szCs w:val="21"/>
                <w:lang w:eastAsia="zh-CN"/>
              </w:rPr>
            </w:pPr>
            <w:r>
              <w:rPr>
                <w:rFonts w:hint="eastAsia" w:ascii="宋体" w:hAnsi="宋体" w:eastAsia="宋体" w:cs="宋体"/>
                <w:szCs w:val="21"/>
              </w:rPr>
              <w:t>项目经理资格：见附录</w:t>
            </w:r>
            <w:r>
              <w:rPr>
                <w:rFonts w:hint="eastAsia" w:ascii="宋体" w:hAnsi="宋体" w:eastAsia="宋体" w:cs="宋体"/>
                <w:szCs w:val="21"/>
                <w:lang w:val="en-US" w:eastAsia="zh-CN"/>
              </w:rPr>
              <w:t>2</w:t>
            </w:r>
          </w:p>
          <w:p w14:paraId="2A3D653F">
            <w:pPr>
              <w:spacing w:line="240" w:lineRule="auto"/>
              <w:rPr>
                <w:rFonts w:hint="eastAsia" w:ascii="宋体" w:hAnsi="宋体" w:eastAsia="宋体" w:cs="宋体"/>
                <w:szCs w:val="21"/>
                <w:u w:val="single"/>
              </w:rPr>
            </w:pPr>
            <w:r>
              <w:rPr>
                <w:rFonts w:hint="eastAsia" w:ascii="宋体" w:hAnsi="宋体" w:eastAsia="宋体" w:cs="宋体"/>
                <w:szCs w:val="21"/>
              </w:rPr>
              <w:t>其他要求：_________</w:t>
            </w:r>
            <w:r>
              <w:rPr>
                <w:rFonts w:hint="eastAsia" w:ascii="宋体" w:hAnsi="宋体" w:eastAsia="宋体" w:cs="宋体"/>
                <w:sz w:val="20"/>
                <w:szCs w:val="21"/>
              </w:rPr>
              <w:t xml:space="preserve"> </w:t>
            </w:r>
          </w:p>
        </w:tc>
      </w:tr>
      <w:tr w14:paraId="625555D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2EDE1369">
            <w:pPr>
              <w:spacing w:line="360" w:lineRule="exact"/>
              <w:jc w:val="center"/>
              <w:rPr>
                <w:rFonts w:hint="eastAsia" w:ascii="宋体" w:hAnsi="宋体" w:eastAsia="宋体" w:cs="宋体"/>
                <w:szCs w:val="21"/>
              </w:rPr>
            </w:pPr>
            <w:r>
              <w:rPr>
                <w:rFonts w:hint="eastAsia" w:ascii="宋体" w:hAnsi="宋体" w:eastAsia="宋体" w:cs="宋体"/>
                <w:szCs w:val="21"/>
              </w:rPr>
              <w:t>1.4.2</w:t>
            </w:r>
          </w:p>
        </w:tc>
        <w:tc>
          <w:tcPr>
            <w:tcW w:w="2474" w:type="dxa"/>
            <w:vAlign w:val="center"/>
          </w:tcPr>
          <w:p w14:paraId="5169F96C">
            <w:pPr>
              <w:spacing w:line="360" w:lineRule="exact"/>
              <w:rPr>
                <w:rFonts w:hint="eastAsia" w:ascii="宋体" w:hAnsi="宋体" w:eastAsia="宋体" w:cs="宋体"/>
                <w:szCs w:val="21"/>
                <w:lang w:eastAsia="zh-CN"/>
              </w:rPr>
            </w:pPr>
            <w:r>
              <w:rPr>
                <w:rFonts w:hint="eastAsia" w:ascii="宋体" w:hAnsi="宋体" w:eastAsia="宋体" w:cs="宋体"/>
                <w:szCs w:val="21"/>
              </w:rPr>
              <w:t>是否接受联合体</w:t>
            </w:r>
            <w:r>
              <w:rPr>
                <w:rFonts w:hint="eastAsia" w:ascii="宋体" w:hAnsi="宋体" w:cs="宋体"/>
                <w:szCs w:val="21"/>
                <w:lang w:eastAsia="zh-CN"/>
              </w:rPr>
              <w:t>竞包</w:t>
            </w:r>
          </w:p>
        </w:tc>
        <w:tc>
          <w:tcPr>
            <w:tcW w:w="5624" w:type="dxa"/>
            <w:vAlign w:val="center"/>
          </w:tcPr>
          <w:p w14:paraId="617A1F86">
            <w:pPr>
              <w:spacing w:line="240" w:lineRule="auto"/>
              <w:rPr>
                <w:rFonts w:hint="eastAsia" w:ascii="宋体" w:hAnsi="宋体" w:eastAsia="宋体" w:cs="宋体"/>
              </w:rPr>
            </w:pPr>
            <w:r>
              <w:rPr>
                <w:rFonts w:hint="eastAsia" w:ascii="宋体" w:hAnsi="宋体" w:eastAsia="宋体" w:cs="宋体"/>
              </w:rPr>
              <w:t xml:space="preserve">□不接受 </w:t>
            </w:r>
          </w:p>
          <w:p w14:paraId="3A44BD64">
            <w:pPr>
              <w:spacing w:line="240" w:lineRule="auto"/>
              <w:rPr>
                <w:rFonts w:hint="eastAsia" w:ascii="宋体" w:hAnsi="宋体" w:eastAsia="宋体" w:cs="宋体"/>
              </w:rPr>
            </w:pPr>
            <w:r>
              <w:rPr>
                <w:rFonts w:hint="eastAsia" w:ascii="宋体" w:hAnsi="宋体" w:eastAsia="宋体" w:cs="宋体"/>
              </w:rPr>
              <w:t>□接受，应满足以下要求：</w:t>
            </w:r>
          </w:p>
          <w:p w14:paraId="7BF7D63C">
            <w:pPr>
              <w:spacing w:line="240" w:lineRule="auto"/>
              <w:rPr>
                <w:rFonts w:hint="eastAsia" w:ascii="宋体" w:hAnsi="宋体" w:eastAsia="宋体" w:cs="宋体"/>
              </w:rPr>
            </w:pPr>
            <w:r>
              <w:rPr>
                <w:rFonts w:hint="eastAsia" w:ascii="宋体" w:hAnsi="宋体" w:eastAsia="宋体" w:cs="宋体"/>
              </w:rPr>
              <w:t>（1）联合体所有成员数量不得超过___家；</w:t>
            </w:r>
          </w:p>
          <w:p w14:paraId="0BE2C217">
            <w:pPr>
              <w:spacing w:line="240" w:lineRule="auto"/>
              <w:rPr>
                <w:rFonts w:hint="eastAsia" w:ascii="宋体" w:hAnsi="宋体" w:eastAsia="宋体" w:cs="宋体"/>
              </w:rPr>
            </w:pPr>
            <w:r>
              <w:rPr>
                <w:rFonts w:hint="eastAsia" w:ascii="宋体" w:hAnsi="宋体" w:eastAsia="宋体" w:cs="宋体"/>
              </w:rPr>
              <w:t>（2）联合体牵头人应具有___________资质；</w:t>
            </w:r>
          </w:p>
          <w:p w14:paraId="5DC89496">
            <w:pPr>
              <w:spacing w:line="240" w:lineRule="auto"/>
              <w:rPr>
                <w:rFonts w:hint="eastAsia" w:ascii="宋体" w:hAnsi="宋体" w:eastAsia="宋体" w:cs="宋体"/>
                <w:szCs w:val="21"/>
                <w:u w:val="single"/>
              </w:rPr>
            </w:pPr>
            <w:r>
              <w:rPr>
                <w:rFonts w:hint="eastAsia" w:ascii="宋体" w:hAnsi="宋体" w:eastAsia="宋体" w:cs="宋体"/>
              </w:rPr>
              <w:t>（3）__________________________________</w:t>
            </w:r>
          </w:p>
        </w:tc>
      </w:tr>
      <w:tr w14:paraId="2BA1228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6" w:type="dxa"/>
            <w:vAlign w:val="center"/>
          </w:tcPr>
          <w:p w14:paraId="23D1E297">
            <w:pPr>
              <w:spacing w:line="360" w:lineRule="exact"/>
              <w:jc w:val="center"/>
              <w:rPr>
                <w:rFonts w:hint="eastAsia" w:ascii="宋体" w:hAnsi="宋体" w:eastAsia="宋体" w:cs="宋体"/>
                <w:szCs w:val="21"/>
              </w:rPr>
            </w:pPr>
            <w:r>
              <w:rPr>
                <w:rFonts w:hint="eastAsia" w:ascii="宋体" w:hAnsi="宋体" w:eastAsia="宋体" w:cs="宋体"/>
                <w:szCs w:val="21"/>
              </w:rPr>
              <w:t>1.4.3</w:t>
            </w:r>
          </w:p>
        </w:tc>
        <w:tc>
          <w:tcPr>
            <w:tcW w:w="2474" w:type="dxa"/>
            <w:vAlign w:val="center"/>
          </w:tcPr>
          <w:p w14:paraId="043D93DF">
            <w:pPr>
              <w:spacing w:line="360" w:lineRule="exact"/>
              <w:rPr>
                <w:rFonts w:hint="eastAsia" w:ascii="宋体" w:hAnsi="宋体" w:eastAsia="宋体" w:cs="宋体"/>
                <w:szCs w:val="21"/>
              </w:rPr>
            </w:pPr>
            <w:r>
              <w:rPr>
                <w:rFonts w:hint="eastAsia" w:ascii="宋体" w:hAnsi="宋体" w:eastAsia="宋体" w:cs="宋体"/>
                <w:szCs w:val="21"/>
                <w:lang w:val="en-US" w:eastAsia="zh-CN"/>
              </w:rPr>
              <w:t>竞包</w:t>
            </w:r>
            <w:r>
              <w:rPr>
                <w:rFonts w:hint="eastAsia" w:ascii="宋体" w:hAnsi="宋体" w:eastAsia="宋体" w:cs="宋体"/>
                <w:szCs w:val="21"/>
              </w:rPr>
              <w:t>人不得存在的其他关联情形</w:t>
            </w:r>
          </w:p>
        </w:tc>
        <w:tc>
          <w:tcPr>
            <w:tcW w:w="5624" w:type="dxa"/>
            <w:vAlign w:val="center"/>
          </w:tcPr>
          <w:p w14:paraId="6832409A">
            <w:pPr>
              <w:spacing w:line="360" w:lineRule="exact"/>
              <w:rPr>
                <w:rFonts w:hint="eastAsia" w:ascii="宋体" w:hAnsi="宋体" w:eastAsia="宋体" w:cs="宋体"/>
                <w:szCs w:val="21"/>
                <w:u w:val="single"/>
              </w:rPr>
            </w:pPr>
            <w:r>
              <w:rPr>
                <w:rFonts w:hint="eastAsia" w:ascii="宋体" w:hAnsi="宋体" w:eastAsia="宋体" w:cs="宋体"/>
                <w:szCs w:val="21"/>
              </w:rPr>
              <w:t>_____________________________</w:t>
            </w:r>
          </w:p>
        </w:tc>
      </w:tr>
    </w:tbl>
    <w:p w14:paraId="0EAE67A3">
      <w:r>
        <w:br w:type="page"/>
      </w:r>
    </w:p>
    <w:tbl>
      <w:tblPr>
        <w:tblStyle w:val="44"/>
        <w:tblW w:w="927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93"/>
        <w:gridCol w:w="2551"/>
        <w:gridCol w:w="5735"/>
      </w:tblGrid>
      <w:tr w14:paraId="0DA1AD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5" w:hRule="atLeast"/>
          <w:tblHeader/>
        </w:trPr>
        <w:tc>
          <w:tcPr>
            <w:tcW w:w="993" w:type="dxa"/>
            <w:tcBorders>
              <w:top w:val="nil"/>
              <w:left w:val="nil"/>
              <w:bottom w:val="single" w:color="000000" w:sz="12" w:space="0"/>
              <w:right w:val="nil"/>
            </w:tcBorders>
            <w:vAlign w:val="center"/>
          </w:tcPr>
          <w:p w14:paraId="730073AE">
            <w:pPr>
              <w:keepNext w:val="0"/>
              <w:keepLines w:val="0"/>
              <w:pageBreakBefore w:val="0"/>
              <w:kinsoku/>
              <w:overflowPunct/>
              <w:autoSpaceDE/>
              <w:bidi w:val="0"/>
              <w:spacing w:line="280" w:lineRule="exact"/>
              <w:jc w:val="center"/>
              <w:textAlignment w:val="auto"/>
              <w:rPr>
                <w:rFonts w:hint="eastAsia" w:ascii="宋体" w:hAnsi="宋体" w:eastAsia="宋体" w:cs="宋体"/>
                <w:b/>
                <w:sz w:val="21"/>
                <w:szCs w:val="21"/>
              </w:rPr>
            </w:pPr>
            <w:r>
              <w:rPr>
                <w:rFonts w:hint="eastAsia" w:ascii="宋体" w:hAnsi="宋体" w:eastAsia="宋体" w:cs="宋体"/>
                <w:sz w:val="21"/>
                <w:szCs w:val="21"/>
              </w:rPr>
              <w:br w:type="page"/>
            </w:r>
          </w:p>
        </w:tc>
        <w:tc>
          <w:tcPr>
            <w:tcW w:w="2551" w:type="dxa"/>
            <w:tcBorders>
              <w:top w:val="nil"/>
              <w:left w:val="nil"/>
              <w:bottom w:val="single" w:color="000000" w:sz="12" w:space="0"/>
              <w:right w:val="nil"/>
            </w:tcBorders>
            <w:vAlign w:val="center"/>
          </w:tcPr>
          <w:p w14:paraId="3F34ABB0">
            <w:pPr>
              <w:keepNext w:val="0"/>
              <w:keepLines w:val="0"/>
              <w:pageBreakBefore w:val="0"/>
              <w:kinsoku/>
              <w:overflowPunct/>
              <w:autoSpaceDE/>
              <w:bidi w:val="0"/>
              <w:spacing w:line="280" w:lineRule="exact"/>
              <w:jc w:val="center"/>
              <w:textAlignment w:val="auto"/>
              <w:rPr>
                <w:rFonts w:hint="eastAsia" w:ascii="宋体" w:hAnsi="宋体" w:eastAsia="宋体" w:cs="宋体"/>
                <w:b/>
                <w:sz w:val="21"/>
                <w:szCs w:val="21"/>
              </w:rPr>
            </w:pPr>
          </w:p>
        </w:tc>
        <w:tc>
          <w:tcPr>
            <w:tcW w:w="5735" w:type="dxa"/>
            <w:tcBorders>
              <w:top w:val="nil"/>
              <w:left w:val="nil"/>
              <w:bottom w:val="single" w:color="000000" w:sz="12" w:space="0"/>
              <w:right w:val="nil"/>
            </w:tcBorders>
            <w:vAlign w:val="center"/>
          </w:tcPr>
          <w:p w14:paraId="292A0D53">
            <w:pPr>
              <w:keepNext w:val="0"/>
              <w:keepLines w:val="0"/>
              <w:pageBreakBefore w:val="0"/>
              <w:kinsoku/>
              <w:overflowPunct/>
              <w:autoSpaceDE/>
              <w:bidi w:val="0"/>
              <w:spacing w:line="280" w:lineRule="exact"/>
              <w:jc w:val="right"/>
              <w:textAlignment w:val="auto"/>
              <w:rPr>
                <w:rFonts w:hint="eastAsia" w:ascii="宋体" w:hAnsi="宋体" w:eastAsia="宋体" w:cs="宋体"/>
                <w:b/>
                <w:sz w:val="21"/>
                <w:szCs w:val="21"/>
              </w:rPr>
            </w:pPr>
            <w:r>
              <w:rPr>
                <w:rFonts w:hint="eastAsia" w:ascii="宋体" w:hAnsi="宋体" w:eastAsia="宋体" w:cs="宋体"/>
                <w:sz w:val="21"/>
                <w:szCs w:val="21"/>
              </w:rPr>
              <w:t>续上表</w:t>
            </w:r>
          </w:p>
        </w:tc>
      </w:tr>
      <w:tr w14:paraId="0FAB95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7" w:hRule="atLeast"/>
          <w:tblHeader/>
        </w:trPr>
        <w:tc>
          <w:tcPr>
            <w:tcW w:w="993" w:type="dxa"/>
            <w:tcBorders>
              <w:top w:val="single" w:color="000000" w:sz="12" w:space="0"/>
              <w:bottom w:val="single" w:color="auto" w:sz="4" w:space="0"/>
              <w:right w:val="single" w:color="auto" w:sz="4" w:space="0"/>
            </w:tcBorders>
            <w:vAlign w:val="center"/>
          </w:tcPr>
          <w:p w14:paraId="0D012A88">
            <w:pPr>
              <w:keepNext w:val="0"/>
              <w:keepLines w:val="0"/>
              <w:pageBreakBefore w:val="0"/>
              <w:kinsoku/>
              <w:overflowPunct/>
              <w:autoSpaceDE/>
              <w:bidi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2551" w:type="dxa"/>
            <w:tcBorders>
              <w:top w:val="single" w:color="000000" w:sz="12" w:space="0"/>
              <w:left w:val="single" w:color="auto" w:sz="4" w:space="0"/>
              <w:bottom w:val="single" w:color="auto" w:sz="4" w:space="0"/>
              <w:right w:val="single" w:color="auto" w:sz="4" w:space="0"/>
            </w:tcBorders>
            <w:vAlign w:val="center"/>
          </w:tcPr>
          <w:p w14:paraId="3668DAD7">
            <w:pPr>
              <w:keepNext w:val="0"/>
              <w:keepLines w:val="0"/>
              <w:pageBreakBefore w:val="0"/>
              <w:kinsoku/>
              <w:overflowPunct/>
              <w:autoSpaceDE/>
              <w:bidi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条 款 名 称</w:t>
            </w:r>
          </w:p>
        </w:tc>
        <w:tc>
          <w:tcPr>
            <w:tcW w:w="5735" w:type="dxa"/>
            <w:tcBorders>
              <w:top w:val="single" w:color="000000" w:sz="12" w:space="0"/>
              <w:left w:val="single" w:color="auto" w:sz="4" w:space="0"/>
              <w:bottom w:val="single" w:color="auto" w:sz="4" w:space="0"/>
            </w:tcBorders>
            <w:vAlign w:val="center"/>
          </w:tcPr>
          <w:p w14:paraId="14CDD72A">
            <w:pPr>
              <w:keepNext w:val="0"/>
              <w:keepLines w:val="0"/>
              <w:pageBreakBefore w:val="0"/>
              <w:kinsoku/>
              <w:overflowPunct/>
              <w:autoSpaceDE/>
              <w:bidi w:val="0"/>
              <w:spacing w:line="2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编 列 内 容</w:t>
            </w:r>
          </w:p>
        </w:tc>
      </w:tr>
      <w:tr w14:paraId="70AABA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10789596">
            <w:pPr>
              <w:keepNext w:val="0"/>
              <w:keepLines w:val="0"/>
              <w:pageBreakBefore w:val="0"/>
              <w:kinsoku/>
              <w:overflow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551" w:type="dxa"/>
            <w:tcBorders>
              <w:top w:val="single" w:color="auto" w:sz="4" w:space="0"/>
              <w:left w:val="single" w:color="auto" w:sz="4" w:space="0"/>
              <w:bottom w:val="single" w:color="auto" w:sz="4" w:space="0"/>
              <w:right w:val="single" w:color="auto" w:sz="4" w:space="0"/>
            </w:tcBorders>
            <w:vAlign w:val="center"/>
          </w:tcPr>
          <w:p w14:paraId="1107FC26">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竞包</w:t>
            </w:r>
            <w:r>
              <w:rPr>
                <w:rFonts w:hint="eastAsia" w:ascii="宋体" w:hAnsi="宋体" w:eastAsia="宋体" w:cs="宋体"/>
                <w:sz w:val="21"/>
                <w:szCs w:val="21"/>
              </w:rPr>
              <w:t>人不得存在下列不良状况或不良信用记录</w:t>
            </w:r>
          </w:p>
        </w:tc>
        <w:tc>
          <w:tcPr>
            <w:tcW w:w="5735" w:type="dxa"/>
            <w:tcBorders>
              <w:top w:val="single" w:color="auto" w:sz="4" w:space="0"/>
              <w:left w:val="single" w:color="auto" w:sz="4" w:space="0"/>
              <w:bottom w:val="single" w:color="auto" w:sz="4" w:space="0"/>
            </w:tcBorders>
            <w:vAlign w:val="center"/>
          </w:tcPr>
          <w:p w14:paraId="60B5C548">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有行贿犯罪行为的时间：</w:t>
            </w:r>
          </w:p>
          <w:p w14:paraId="3DD49990">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_______年____月____日以来</w:t>
            </w:r>
            <w:r>
              <w:rPr>
                <w:rStyle w:val="80"/>
                <w:rFonts w:hint="eastAsia" w:ascii="宋体" w:hAnsi="宋体" w:eastAsia="宋体" w:cs="宋体"/>
                <w:sz w:val="21"/>
                <w:szCs w:val="21"/>
                <w:vertAlign w:val="superscript"/>
              </w:rPr>
              <w:footnoteReference w:id="0"/>
            </w:r>
          </w:p>
          <w:p w14:paraId="0C662F1A">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竞包人</w:t>
            </w:r>
            <w:r>
              <w:rPr>
                <w:rFonts w:hint="eastAsia" w:ascii="宋体" w:hAnsi="宋体" w:eastAsia="宋体" w:cs="宋体"/>
                <w:sz w:val="21"/>
                <w:szCs w:val="21"/>
              </w:rPr>
              <w:t>不得存在的其他不良状况或不良信用记录：</w:t>
            </w:r>
          </w:p>
          <w:p w14:paraId="52A2910A">
            <w:pPr>
              <w:keepNext w:val="0"/>
              <w:keepLines w:val="0"/>
              <w:pageBreakBefore w:val="0"/>
              <w:kinsoku/>
              <w:overflowPunct/>
              <w:autoSpaceDE/>
              <w:bidi w:val="0"/>
              <w:spacing w:line="280" w:lineRule="exact"/>
              <w:jc w:val="left"/>
              <w:textAlignment w:val="auto"/>
              <w:rPr>
                <w:rFonts w:hint="eastAsia" w:ascii="宋体" w:hAnsi="宋体" w:eastAsia="宋体" w:cs="宋体"/>
                <w:sz w:val="21"/>
                <w:szCs w:val="21"/>
                <w:lang w:val="de-DE" w:eastAsia="de-DE"/>
              </w:rPr>
            </w:pPr>
            <w:r>
              <w:rPr>
                <w:rFonts w:hint="eastAsia" w:ascii="宋体" w:hAnsi="宋体" w:eastAsia="宋体" w:cs="宋体"/>
                <w:sz w:val="21"/>
                <w:szCs w:val="21"/>
              </w:rPr>
              <w:t>（1）</w:t>
            </w:r>
            <w:r>
              <w:rPr>
                <w:rFonts w:hint="eastAsia" w:ascii="宋体" w:hAnsi="宋体" w:cs="宋体"/>
                <w:sz w:val="21"/>
                <w:szCs w:val="21"/>
                <w:u w:val="single"/>
                <w:lang w:eastAsia="zh-CN"/>
              </w:rPr>
              <w:t>竞包</w:t>
            </w:r>
            <w:r>
              <w:rPr>
                <w:rFonts w:hint="eastAsia" w:ascii="宋体" w:hAnsi="宋体" w:eastAsia="宋体" w:cs="宋体"/>
                <w:sz w:val="21"/>
                <w:szCs w:val="21"/>
                <w:u w:val="single"/>
              </w:rPr>
              <w:t>截止时间至</w:t>
            </w:r>
            <w:r>
              <w:rPr>
                <w:rFonts w:hint="eastAsia" w:ascii="宋体" w:hAnsi="宋体" w:cs="宋体"/>
                <w:sz w:val="21"/>
                <w:szCs w:val="21"/>
                <w:u w:val="single"/>
                <w:lang w:val="en-US" w:eastAsia="zh-CN"/>
              </w:rPr>
              <w:t>预承包</w:t>
            </w:r>
            <w:r>
              <w:rPr>
                <w:rFonts w:hint="eastAsia" w:ascii="宋体" w:hAnsi="宋体" w:eastAsia="宋体" w:cs="宋体"/>
                <w:sz w:val="21"/>
                <w:szCs w:val="21"/>
                <w:u w:val="single"/>
              </w:rPr>
              <w:t>公示结束期间</w:t>
            </w:r>
            <w:r>
              <w:rPr>
                <w:rFonts w:hint="eastAsia" w:ascii="宋体" w:hAnsi="宋体" w:cs="宋体"/>
                <w:sz w:val="21"/>
                <w:szCs w:val="21"/>
                <w:u w:val="single"/>
                <w:lang w:eastAsia="zh-CN"/>
              </w:rPr>
              <w:t>竞包</w:t>
            </w:r>
            <w:r>
              <w:rPr>
                <w:rFonts w:hint="eastAsia" w:ascii="宋体" w:hAnsi="宋体" w:eastAsia="宋体" w:cs="宋体"/>
                <w:sz w:val="21"/>
                <w:szCs w:val="21"/>
                <w:u w:val="single"/>
              </w:rPr>
              <w:t>所需资质条件的动态核查结果为“不合格”状态</w:t>
            </w:r>
            <w:r>
              <w:rPr>
                <w:rFonts w:hint="eastAsia" w:ascii="宋体" w:hAnsi="宋体" w:eastAsia="宋体" w:cs="宋体"/>
                <w:sz w:val="21"/>
                <w:szCs w:val="21"/>
              </w:rPr>
              <w:t>；</w:t>
            </w:r>
          </w:p>
          <w:p w14:paraId="69A1F3ED">
            <w:pPr>
              <w:keepNext w:val="0"/>
              <w:keepLines w:val="0"/>
              <w:pageBreakBefore w:val="0"/>
              <w:kinsoku/>
              <w:overflowPunct/>
              <w:autoSpaceDE/>
              <w:bidi w:val="0"/>
              <w:spacing w:line="280" w:lineRule="exact"/>
              <w:jc w:val="left"/>
              <w:textAlignment w:val="auto"/>
              <w:rPr>
                <w:rFonts w:hint="eastAsia" w:ascii="宋体" w:hAnsi="宋体" w:eastAsia="宋体" w:cs="宋体"/>
                <w:sz w:val="21"/>
                <w:szCs w:val="21"/>
                <w:lang w:val="de-DE" w:eastAsia="de-DE"/>
              </w:rPr>
            </w:pPr>
            <w:r>
              <w:rPr>
                <w:rFonts w:hint="eastAsia" w:ascii="宋体" w:hAnsi="宋体" w:eastAsia="宋体" w:cs="宋体"/>
                <w:sz w:val="21"/>
                <w:szCs w:val="21"/>
              </w:rPr>
              <w:t>（2）_____________________________</w:t>
            </w:r>
          </w:p>
        </w:tc>
      </w:tr>
      <w:tr w14:paraId="28465B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5EB28255">
            <w:pPr>
              <w:spacing w:line="290" w:lineRule="exact"/>
              <w:jc w:val="center"/>
              <w:rPr>
                <w:rFonts w:hint="eastAsia" w:ascii="宋体" w:hAnsi="宋体" w:eastAsia="宋体" w:cs="宋体"/>
                <w:sz w:val="21"/>
                <w:szCs w:val="21"/>
              </w:rPr>
            </w:pPr>
            <w:r>
              <w:rPr>
                <w:rFonts w:hint="eastAsia" w:ascii="宋体" w:hAnsi="宋体" w:cs="宋体"/>
                <w:color w:val="auto"/>
                <w:szCs w:val="21"/>
                <w:highlight w:val="none"/>
              </w:rPr>
              <w:t>1.10.2</w:t>
            </w:r>
          </w:p>
        </w:tc>
        <w:tc>
          <w:tcPr>
            <w:tcW w:w="2551" w:type="dxa"/>
            <w:tcBorders>
              <w:top w:val="single" w:color="auto" w:sz="4" w:space="0"/>
              <w:left w:val="single" w:color="auto" w:sz="4" w:space="0"/>
              <w:bottom w:val="single" w:color="auto" w:sz="4" w:space="0"/>
              <w:right w:val="single" w:color="auto" w:sz="4" w:space="0"/>
            </w:tcBorders>
            <w:vAlign w:val="center"/>
          </w:tcPr>
          <w:p w14:paraId="27882C7B">
            <w:pPr>
              <w:spacing w:line="290" w:lineRule="exact"/>
              <w:rPr>
                <w:rFonts w:hint="eastAsia" w:ascii="宋体" w:hAnsi="宋体" w:eastAsia="宋体" w:cs="宋体"/>
                <w:sz w:val="21"/>
                <w:szCs w:val="21"/>
                <w:lang w:val="en-US" w:eastAsia="zh-CN"/>
              </w:rPr>
            </w:pPr>
            <w:r>
              <w:rPr>
                <w:rFonts w:hint="eastAsia"/>
                <w:color w:val="auto"/>
                <w:szCs w:val="21"/>
                <w:highlight w:val="none"/>
                <w:lang w:eastAsia="zh-CN"/>
              </w:rPr>
              <w:t>竞包</w:t>
            </w:r>
            <w:r>
              <w:rPr>
                <w:rFonts w:hint="eastAsia"/>
                <w:color w:val="auto"/>
                <w:szCs w:val="21"/>
                <w:highlight w:val="none"/>
              </w:rPr>
              <w:t>预备会</w:t>
            </w:r>
            <w:r>
              <w:rPr>
                <w:rFonts w:hint="eastAsia"/>
                <w:color w:val="auto"/>
                <w:szCs w:val="21"/>
                <w:highlight w:val="none"/>
                <w:lang w:val="en-US" w:eastAsia="zh-CN"/>
              </w:rPr>
              <w:t>竞包</w:t>
            </w:r>
            <w:r>
              <w:rPr>
                <w:rFonts w:hint="eastAsia"/>
                <w:color w:val="auto"/>
                <w:szCs w:val="21"/>
                <w:highlight w:val="none"/>
              </w:rPr>
              <w:t>人提出问题</w:t>
            </w:r>
          </w:p>
        </w:tc>
        <w:tc>
          <w:tcPr>
            <w:tcW w:w="5735" w:type="dxa"/>
            <w:tcBorders>
              <w:top w:val="single" w:color="auto" w:sz="4" w:space="0"/>
              <w:left w:val="single" w:color="auto" w:sz="4" w:space="0"/>
              <w:bottom w:val="single" w:color="auto" w:sz="4" w:space="0"/>
            </w:tcBorders>
            <w:vAlign w:val="center"/>
          </w:tcPr>
          <w:p w14:paraId="786544C0">
            <w:pPr>
              <w:spacing w:line="290" w:lineRule="exact"/>
              <w:rPr>
                <w:rFonts w:hint="eastAsia" w:ascii="宋体" w:hAnsi="宋体" w:eastAsia="宋体" w:cs="宋体"/>
                <w:sz w:val="21"/>
                <w:szCs w:val="21"/>
              </w:rPr>
            </w:pPr>
            <w:r>
              <w:rPr>
                <w:rFonts w:hint="eastAsia" w:ascii="宋体" w:hAnsi="宋体" w:cs="宋体"/>
                <w:color w:val="auto"/>
                <w:szCs w:val="21"/>
                <w:highlight w:val="none"/>
                <w:u w:val="single"/>
              </w:rPr>
              <w:t xml:space="preserve">      /    </w:t>
            </w:r>
          </w:p>
        </w:tc>
      </w:tr>
      <w:tr w14:paraId="2447B9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6C85110D">
            <w:pPr>
              <w:keepNext w:val="0"/>
              <w:keepLines w:val="0"/>
              <w:pageBreakBefore w:val="0"/>
              <w:kinsoku/>
              <w:overflow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1.11.1</w:t>
            </w:r>
          </w:p>
        </w:tc>
        <w:tc>
          <w:tcPr>
            <w:tcW w:w="2551" w:type="dxa"/>
            <w:tcBorders>
              <w:top w:val="single" w:color="auto" w:sz="4" w:space="0"/>
              <w:left w:val="single" w:color="auto" w:sz="4" w:space="0"/>
              <w:bottom w:val="single" w:color="auto" w:sz="4" w:space="0"/>
              <w:right w:val="single" w:color="auto" w:sz="4" w:space="0"/>
            </w:tcBorders>
            <w:vAlign w:val="center"/>
          </w:tcPr>
          <w:p w14:paraId="405BB3D9">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分包</w:t>
            </w:r>
          </w:p>
        </w:tc>
        <w:tc>
          <w:tcPr>
            <w:tcW w:w="5735" w:type="dxa"/>
            <w:tcBorders>
              <w:top w:val="single" w:color="auto" w:sz="4" w:space="0"/>
              <w:left w:val="single" w:color="auto" w:sz="4" w:space="0"/>
              <w:bottom w:val="single" w:color="auto" w:sz="4" w:space="0"/>
            </w:tcBorders>
            <w:vAlign w:val="center"/>
          </w:tcPr>
          <w:p w14:paraId="3B38CB27">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不得分包的工程内容为：_____________</w:t>
            </w:r>
          </w:p>
          <w:p w14:paraId="7368437C">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分包应符合交通运输部关于印发《公路工程施工分包管理办法》的通知（交公路规〔2024〕2 号）、交通运输部办公厅关于印发《公路工程施工分包负面清单（2024 年版）》的通知（交办公路〔2024〕6 号）及省交通运输厅关于印发《浙江省公路水运工程施工分包和劳务合作管理实施细则》的通知（浙交〔2024〕104 号）等有关分包管理的规定执行（以上相关文件内容若有更新或新政策发布的，以最新文件或内容为准）。承包人应及时向分包人支付工程款。</w:t>
            </w:r>
          </w:p>
          <w:p w14:paraId="44D737D6">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分包的其他规定：</w:t>
            </w:r>
            <w:r>
              <w:rPr>
                <w:rFonts w:hint="eastAsia" w:ascii="宋体" w:hAnsi="宋体" w:eastAsia="宋体" w:cs="宋体"/>
                <w:sz w:val="21"/>
                <w:szCs w:val="21"/>
                <w:u w:val="single"/>
              </w:rPr>
              <w:t xml:space="preserve">                        </w:t>
            </w:r>
          </w:p>
        </w:tc>
      </w:tr>
      <w:tr w14:paraId="05A009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6C12E62">
            <w:pPr>
              <w:keepNext w:val="0"/>
              <w:keepLines w:val="0"/>
              <w:pageBreakBefore w:val="0"/>
              <w:kinsoku/>
              <w:overflow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2551" w:type="dxa"/>
            <w:tcBorders>
              <w:top w:val="single" w:color="auto" w:sz="4" w:space="0"/>
              <w:left w:val="single" w:color="auto" w:sz="4" w:space="0"/>
              <w:bottom w:val="single" w:color="auto" w:sz="4" w:space="0"/>
              <w:right w:val="single" w:color="auto" w:sz="4" w:space="0"/>
            </w:tcBorders>
            <w:vAlign w:val="center"/>
          </w:tcPr>
          <w:p w14:paraId="190B1F00">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构成</w:t>
            </w:r>
            <w:r>
              <w:rPr>
                <w:rFonts w:hint="eastAsia" w:ascii="宋体" w:hAnsi="宋体" w:eastAsia="宋体" w:cs="宋体"/>
                <w:sz w:val="21"/>
                <w:szCs w:val="21"/>
                <w:lang w:eastAsia="zh-CN"/>
              </w:rPr>
              <w:t>发包文件</w:t>
            </w:r>
            <w:r>
              <w:rPr>
                <w:rFonts w:hint="eastAsia" w:ascii="宋体" w:hAnsi="宋体" w:eastAsia="宋体" w:cs="宋体"/>
                <w:sz w:val="21"/>
                <w:szCs w:val="21"/>
              </w:rPr>
              <w:t>的其他材料</w:t>
            </w:r>
          </w:p>
        </w:tc>
        <w:tc>
          <w:tcPr>
            <w:tcW w:w="5735" w:type="dxa"/>
            <w:tcBorders>
              <w:top w:val="single" w:color="auto" w:sz="4" w:space="0"/>
              <w:left w:val="single" w:color="auto" w:sz="4" w:space="0"/>
              <w:bottom w:val="single" w:color="auto" w:sz="4" w:space="0"/>
            </w:tcBorders>
            <w:vAlign w:val="center"/>
          </w:tcPr>
          <w:p w14:paraId="70D7E472">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bookmarkStart w:id="80" w:name="EBe33406fbd4d2452294668c36c1327c7f"/>
            <w:r>
              <w:rPr>
                <w:rFonts w:hint="eastAsia" w:ascii="宋体" w:hAnsi="宋体" w:eastAsia="宋体" w:cs="宋体"/>
                <w:sz w:val="21"/>
                <w:szCs w:val="21"/>
                <w:lang w:eastAsia="zh-CN"/>
              </w:rPr>
              <w:t>发包人</w:t>
            </w:r>
            <w:r>
              <w:rPr>
                <w:rFonts w:hint="eastAsia" w:ascii="宋体" w:hAnsi="宋体" w:eastAsia="宋体" w:cs="宋体"/>
                <w:sz w:val="21"/>
                <w:szCs w:val="21"/>
              </w:rPr>
              <w:t>按规定报备后的标有编号的补遗书（如有）</w:t>
            </w:r>
            <w:bookmarkEnd w:id="80"/>
          </w:p>
        </w:tc>
      </w:tr>
      <w:tr w14:paraId="40C064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68ABB54">
            <w:pPr>
              <w:keepNext w:val="0"/>
              <w:keepLines w:val="0"/>
              <w:pageBreakBefore w:val="0"/>
              <w:kinsoku/>
              <w:overflow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2.2.1</w:t>
            </w:r>
          </w:p>
        </w:tc>
        <w:tc>
          <w:tcPr>
            <w:tcW w:w="2551" w:type="dxa"/>
            <w:tcBorders>
              <w:top w:val="single" w:color="auto" w:sz="4" w:space="0"/>
              <w:left w:val="single" w:color="auto" w:sz="4" w:space="0"/>
              <w:bottom w:val="single" w:color="auto" w:sz="4" w:space="0"/>
              <w:right w:val="single" w:color="auto" w:sz="4" w:space="0"/>
            </w:tcBorders>
            <w:vAlign w:val="center"/>
          </w:tcPr>
          <w:p w14:paraId="4FD0FE8A">
            <w:pPr>
              <w:pStyle w:val="31"/>
              <w:keepNext w:val="0"/>
              <w:keepLines w:val="0"/>
              <w:pageBreakBefore w:val="0"/>
              <w:kinsoku/>
              <w:overflowPunct/>
              <w:autoSpaceDE/>
              <w:bidi w:val="0"/>
              <w:spacing w:line="2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竞包</w:t>
            </w:r>
            <w:r>
              <w:rPr>
                <w:rFonts w:hint="eastAsia" w:ascii="宋体" w:hAnsi="宋体" w:eastAsia="宋体" w:cs="宋体"/>
                <w:sz w:val="21"/>
                <w:szCs w:val="21"/>
              </w:rPr>
              <w:t>人要求澄清</w:t>
            </w:r>
            <w:r>
              <w:rPr>
                <w:rFonts w:hint="eastAsia" w:ascii="宋体" w:hAnsi="宋体" w:eastAsia="宋体" w:cs="宋体"/>
                <w:sz w:val="21"/>
                <w:szCs w:val="21"/>
                <w:lang w:eastAsia="zh-CN"/>
              </w:rPr>
              <w:t>发包文件</w:t>
            </w:r>
          </w:p>
          <w:p w14:paraId="16457390">
            <w:pPr>
              <w:pStyle w:val="31"/>
              <w:keepNext w:val="0"/>
              <w:keepLines w:val="0"/>
              <w:pageBreakBefore w:val="0"/>
              <w:kinsoku/>
              <w:overflowPunct/>
              <w:autoSpaceDE/>
              <w:bidi w:val="0"/>
              <w:spacing w:line="2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和</w:t>
            </w:r>
            <w:r>
              <w:rPr>
                <w:rFonts w:hint="eastAsia" w:ascii="宋体" w:hAnsi="宋体" w:eastAsia="宋体" w:cs="宋体"/>
                <w:sz w:val="21"/>
                <w:szCs w:val="21"/>
              </w:rPr>
              <w:t>发包文件澄清发出的形式</w:t>
            </w:r>
          </w:p>
        </w:tc>
        <w:tc>
          <w:tcPr>
            <w:tcW w:w="5735" w:type="dxa"/>
            <w:tcBorders>
              <w:top w:val="single" w:color="auto" w:sz="4" w:space="0"/>
              <w:left w:val="single" w:color="auto" w:sz="4" w:space="0"/>
              <w:bottom w:val="single" w:color="auto" w:sz="4" w:space="0"/>
            </w:tcBorders>
            <w:vAlign w:val="center"/>
          </w:tcPr>
          <w:p w14:paraId="0926BCC6">
            <w:pPr>
              <w:keepNext w:val="0"/>
              <w:keepLines w:val="0"/>
              <w:pageBreakBefore w:val="0"/>
              <w:kinsoku/>
              <w:overflowPunct/>
              <w:autoSpaceDE/>
              <w:bidi w:val="0"/>
              <w:adjustRightInd w:val="0"/>
              <w:snapToGrid w:val="0"/>
              <w:spacing w:line="280" w:lineRule="exact"/>
              <w:ind w:right="241" w:rightChars="115"/>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截止时间：详见时间安排表（竞包人在截止时间以后提出的澄清发包文件的要求，发包人可以拒绝受理）</w:t>
            </w:r>
          </w:p>
          <w:p w14:paraId="570ACE57">
            <w:pPr>
              <w:keepNext w:val="0"/>
              <w:keepLines w:val="0"/>
              <w:pageBreakBefore w:val="0"/>
              <w:kinsoku/>
              <w:overflowPunct/>
              <w:autoSpaceDE/>
              <w:bidi w:val="0"/>
              <w:adjustRightInd w:val="0"/>
              <w:snapToGrid w:val="0"/>
              <w:spacing w:line="280" w:lineRule="exact"/>
              <w:ind w:right="241" w:rightChars="115"/>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提交方式:竞包人在泰顺县</w:t>
            </w:r>
            <w:r>
              <w:rPr>
                <w:rFonts w:hint="eastAsia" w:ascii="宋体" w:hAnsi="宋体" w:cs="宋体"/>
                <w:snapToGrid w:val="0"/>
                <w:sz w:val="21"/>
                <w:szCs w:val="21"/>
                <w:lang w:eastAsia="zh-CN"/>
              </w:rPr>
              <w:t>小额工程阳光交易网</w:t>
            </w:r>
            <w:r>
              <w:rPr>
                <w:rFonts w:hint="eastAsia" w:ascii="宋体" w:hAnsi="宋体" w:eastAsia="宋体" w:cs="宋体"/>
                <w:snapToGrid w:val="0"/>
                <w:sz w:val="21"/>
                <w:szCs w:val="21"/>
              </w:rPr>
              <w:t>登录后以不记名方式提交。</w:t>
            </w:r>
          </w:p>
          <w:p w14:paraId="7289BE59">
            <w:pPr>
              <w:keepNext w:val="0"/>
              <w:keepLines w:val="0"/>
              <w:pageBreakBefore w:val="0"/>
              <w:kinsoku/>
              <w:overflowPunct/>
              <w:autoSpaceDE/>
              <w:bidi w:val="0"/>
              <w:adjustRightInd w:val="0"/>
              <w:snapToGrid w:val="0"/>
              <w:spacing w:line="280" w:lineRule="exact"/>
              <w:ind w:right="241" w:rightChars="115"/>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发包人对竞包人疑问作出统一的解答，并以发包补充文件的形式发出。</w:t>
            </w:r>
          </w:p>
          <w:p w14:paraId="306B37F5">
            <w:pPr>
              <w:keepNext w:val="0"/>
              <w:keepLines w:val="0"/>
              <w:pageBreakBefore w:val="0"/>
              <w:kinsoku/>
              <w:overflowPunct/>
              <w:autoSpaceDE/>
              <w:bidi w:val="0"/>
              <w:adjustRightInd w:val="0"/>
              <w:snapToGrid w:val="0"/>
              <w:spacing w:line="280" w:lineRule="exact"/>
              <w:ind w:right="241" w:rightChars="115"/>
              <w:textAlignment w:val="auto"/>
              <w:rPr>
                <w:rFonts w:hint="eastAsia" w:ascii="宋体" w:hAnsi="宋体" w:eastAsia="宋体" w:cs="宋体"/>
                <w:sz w:val="21"/>
                <w:szCs w:val="21"/>
                <w:lang w:eastAsia="zh-CN"/>
              </w:rPr>
            </w:pPr>
            <w:r>
              <w:rPr>
                <w:rFonts w:hint="eastAsia" w:ascii="宋体" w:hAnsi="宋体" w:eastAsia="宋体" w:cs="宋体"/>
                <w:snapToGrid w:val="0"/>
                <w:sz w:val="21"/>
                <w:szCs w:val="21"/>
              </w:rPr>
              <w:t>在泰顺县</w:t>
            </w:r>
            <w:r>
              <w:rPr>
                <w:rFonts w:hint="eastAsia" w:ascii="宋体" w:hAnsi="宋体" w:cs="宋体"/>
                <w:snapToGrid w:val="0"/>
                <w:sz w:val="21"/>
                <w:szCs w:val="21"/>
                <w:lang w:eastAsia="zh-CN"/>
              </w:rPr>
              <w:t>小额工程阳光交易网</w:t>
            </w:r>
            <w:r>
              <w:rPr>
                <w:rFonts w:hint="eastAsia" w:ascii="宋体" w:hAnsi="宋体" w:eastAsia="宋体" w:cs="宋体"/>
                <w:snapToGrid w:val="0"/>
                <w:sz w:val="21"/>
                <w:szCs w:val="21"/>
              </w:rPr>
              <w:t>上公开发布。在竞包前，竞包人须随时关注网站的最新答疑信息，自行下载。</w:t>
            </w:r>
          </w:p>
        </w:tc>
      </w:tr>
      <w:tr w14:paraId="6CDC2B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993" w:type="dxa"/>
            <w:tcBorders>
              <w:top w:val="single" w:color="auto" w:sz="4" w:space="0"/>
              <w:bottom w:val="single" w:color="auto" w:sz="4" w:space="0"/>
              <w:right w:val="single" w:color="auto" w:sz="4" w:space="0"/>
            </w:tcBorders>
            <w:shd w:val="clear" w:color="auto" w:fill="auto"/>
            <w:vAlign w:val="center"/>
          </w:tcPr>
          <w:p w14:paraId="3145200E">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.2.</w:t>
            </w:r>
            <w:r>
              <w:rPr>
                <w:rFonts w:hint="eastAsia" w:ascii="宋体" w:hAnsi="宋体" w:eastAsia="宋体" w:cs="宋体"/>
                <w:sz w:val="21"/>
                <w:szCs w:val="21"/>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E43FF5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竞包截止时间</w:t>
            </w:r>
          </w:p>
        </w:tc>
        <w:tc>
          <w:tcPr>
            <w:tcW w:w="5735" w:type="dxa"/>
            <w:tcBorders>
              <w:top w:val="single" w:color="auto" w:sz="4" w:space="0"/>
              <w:left w:val="single" w:color="auto" w:sz="4" w:space="0"/>
              <w:bottom w:val="single" w:color="auto" w:sz="4" w:space="0"/>
            </w:tcBorders>
            <w:shd w:val="clear" w:color="auto" w:fill="auto"/>
            <w:vAlign w:val="center"/>
          </w:tcPr>
          <w:p w14:paraId="5570C618">
            <w:pPr>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分</w:t>
            </w:r>
            <w:r>
              <w:rPr>
                <w:rFonts w:hint="eastAsia" w:ascii="宋体" w:hAnsi="宋体" w:eastAsia="宋体" w:cs="宋体"/>
                <w:sz w:val="21"/>
                <w:szCs w:val="21"/>
                <w:u w:val="single"/>
              </w:rPr>
              <w:t>00</w:t>
            </w:r>
            <w:r>
              <w:rPr>
                <w:rFonts w:hint="eastAsia" w:ascii="宋体" w:hAnsi="宋体" w:eastAsia="宋体" w:cs="宋体"/>
                <w:sz w:val="21"/>
                <w:szCs w:val="21"/>
              </w:rPr>
              <w:t>秒</w:t>
            </w:r>
          </w:p>
        </w:tc>
      </w:tr>
      <w:tr w14:paraId="5DF144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993" w:type="dxa"/>
            <w:tcBorders>
              <w:top w:val="single" w:color="auto" w:sz="4" w:space="0"/>
              <w:bottom w:val="single" w:color="auto" w:sz="4" w:space="0"/>
              <w:right w:val="single" w:color="auto" w:sz="4" w:space="0"/>
            </w:tcBorders>
            <w:vAlign w:val="center"/>
          </w:tcPr>
          <w:p w14:paraId="00D77C1D">
            <w:pPr>
              <w:spacing w:line="360" w:lineRule="exact"/>
              <w:jc w:val="center"/>
              <w:rPr>
                <w:rFonts w:hint="eastAsia" w:ascii="宋体" w:hAnsi="宋体" w:eastAsia="宋体" w:cs="宋体"/>
                <w:sz w:val="21"/>
                <w:szCs w:val="21"/>
              </w:rPr>
            </w:pPr>
            <w:r>
              <w:rPr>
                <w:rFonts w:hint="eastAsia" w:ascii="宋体" w:hAnsi="宋体" w:eastAsia="宋体" w:cs="宋体"/>
                <w:szCs w:val="21"/>
              </w:rPr>
              <w:t>3.1.1</w:t>
            </w:r>
          </w:p>
        </w:tc>
        <w:tc>
          <w:tcPr>
            <w:tcW w:w="2551" w:type="dxa"/>
            <w:tcBorders>
              <w:top w:val="single" w:color="auto" w:sz="4" w:space="0"/>
              <w:left w:val="single" w:color="auto" w:sz="4" w:space="0"/>
              <w:bottom w:val="single" w:color="auto" w:sz="4" w:space="0"/>
              <w:right w:val="single" w:color="auto" w:sz="4" w:space="0"/>
            </w:tcBorders>
            <w:vAlign w:val="center"/>
          </w:tcPr>
          <w:p w14:paraId="05DCE81C">
            <w:pPr>
              <w:spacing w:line="360" w:lineRule="exact"/>
              <w:jc w:val="center"/>
              <w:rPr>
                <w:rFonts w:hint="eastAsia" w:ascii="宋体" w:hAnsi="宋体" w:eastAsia="宋体" w:cs="宋体"/>
                <w:sz w:val="21"/>
                <w:szCs w:val="21"/>
              </w:rPr>
            </w:pPr>
            <w:r>
              <w:rPr>
                <w:rFonts w:hint="eastAsia" w:ascii="宋体" w:hAnsi="宋体" w:cs="宋体"/>
                <w:szCs w:val="21"/>
                <w:lang w:eastAsia="zh-CN"/>
              </w:rPr>
              <w:t>竞包</w:t>
            </w:r>
            <w:r>
              <w:rPr>
                <w:rFonts w:hint="eastAsia" w:ascii="宋体" w:hAnsi="宋体" w:eastAsia="宋体" w:cs="宋体"/>
                <w:szCs w:val="21"/>
              </w:rPr>
              <w:t>文件密封形式</w:t>
            </w:r>
          </w:p>
        </w:tc>
        <w:tc>
          <w:tcPr>
            <w:tcW w:w="5735" w:type="dxa"/>
            <w:tcBorders>
              <w:top w:val="single" w:color="auto" w:sz="4" w:space="0"/>
              <w:left w:val="single" w:color="auto" w:sz="4" w:space="0"/>
              <w:bottom w:val="single" w:color="auto" w:sz="4" w:space="0"/>
            </w:tcBorders>
            <w:vAlign w:val="center"/>
          </w:tcPr>
          <w:p w14:paraId="64A47914">
            <w:pPr>
              <w:adjustRightInd w:val="0"/>
              <w:snapToGrid w:val="0"/>
              <w:spacing w:line="360" w:lineRule="exact"/>
              <w:ind w:right="241" w:rightChars="115"/>
              <w:rPr>
                <w:rFonts w:hint="eastAsia" w:ascii="宋体" w:hAnsi="宋体" w:eastAsia="宋体" w:cs="宋体"/>
                <w:snapToGrid w:val="0"/>
                <w:sz w:val="21"/>
                <w:szCs w:val="21"/>
              </w:rPr>
            </w:pPr>
            <w:r>
              <w:rPr>
                <w:rFonts w:hint="eastAsia" w:ascii="宋体" w:hAnsi="宋体" w:eastAsia="宋体" w:cs="宋体"/>
                <w:snapToGrid w:val="0"/>
                <w:szCs w:val="21"/>
                <w:lang w:val="en-US" w:eastAsia="zh-CN"/>
              </w:rPr>
              <w:t>单</w:t>
            </w:r>
            <w:r>
              <w:rPr>
                <w:rFonts w:hint="eastAsia" w:ascii="宋体" w:hAnsi="宋体" w:eastAsia="宋体" w:cs="宋体"/>
                <w:snapToGrid w:val="0"/>
                <w:szCs w:val="21"/>
              </w:rPr>
              <w:t>信封</w:t>
            </w:r>
          </w:p>
        </w:tc>
      </w:tr>
      <w:tr w14:paraId="099524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2" w:hRule="atLeast"/>
        </w:trPr>
        <w:tc>
          <w:tcPr>
            <w:tcW w:w="993" w:type="dxa"/>
            <w:tcBorders>
              <w:top w:val="single" w:color="auto" w:sz="4" w:space="0"/>
              <w:bottom w:val="single" w:color="auto" w:sz="4" w:space="0"/>
              <w:right w:val="single" w:color="auto" w:sz="4" w:space="0"/>
            </w:tcBorders>
            <w:vAlign w:val="center"/>
          </w:tcPr>
          <w:p w14:paraId="171FACD1">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3.2</w:t>
            </w:r>
          </w:p>
        </w:tc>
        <w:tc>
          <w:tcPr>
            <w:tcW w:w="2551" w:type="dxa"/>
            <w:tcBorders>
              <w:top w:val="single" w:color="auto" w:sz="4" w:space="0"/>
              <w:left w:val="single" w:color="auto" w:sz="4" w:space="0"/>
              <w:bottom w:val="single" w:color="auto" w:sz="4" w:space="0"/>
              <w:right w:val="single" w:color="auto" w:sz="4" w:space="0"/>
            </w:tcBorders>
            <w:vAlign w:val="center"/>
          </w:tcPr>
          <w:p w14:paraId="10AD2B84">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竞包有效期</w:t>
            </w:r>
          </w:p>
        </w:tc>
        <w:tc>
          <w:tcPr>
            <w:tcW w:w="5735" w:type="dxa"/>
            <w:tcBorders>
              <w:top w:val="single" w:color="auto" w:sz="4" w:space="0"/>
              <w:left w:val="single" w:color="auto" w:sz="4" w:space="0"/>
              <w:bottom w:val="single" w:color="auto" w:sz="4" w:space="0"/>
            </w:tcBorders>
            <w:vAlign w:val="center"/>
          </w:tcPr>
          <w:p w14:paraId="5A19F27A">
            <w:pPr>
              <w:pStyle w:val="112"/>
              <w:keepNext w:val="0"/>
              <w:keepLines w:val="0"/>
              <w:pageBreakBefore w:val="0"/>
              <w:kinsoku/>
              <w:wordWrap w:val="0"/>
              <w:overflowPunct/>
              <w:topLinePunct/>
              <w:autoSpaceDE/>
              <w:bidi w:val="0"/>
              <w:spacing w:line="280" w:lineRule="exact"/>
              <w:ind w:firstLine="0" w:firstLineChars="0"/>
              <w:textAlignment w:val="auto"/>
              <w:rPr>
                <w:rFonts w:hint="eastAsia" w:ascii="宋体" w:hAnsi="宋体" w:eastAsia="宋体" w:cs="宋体"/>
                <w:snapToGrid w:val="0"/>
                <w:sz w:val="21"/>
                <w:szCs w:val="21"/>
              </w:rPr>
            </w:pPr>
            <w:r>
              <w:rPr>
                <w:rFonts w:hint="eastAsia" w:ascii="宋体" w:hAnsi="宋体" w:eastAsia="宋体" w:cs="宋体"/>
                <w:sz w:val="21"/>
                <w:szCs w:val="21"/>
                <w:u w:val="single"/>
              </w:rPr>
              <w:t xml:space="preserve">  90  </w:t>
            </w:r>
            <w:r>
              <w:rPr>
                <w:rFonts w:hint="eastAsia" w:ascii="宋体" w:hAnsi="宋体" w:eastAsia="宋体" w:cs="宋体"/>
                <w:sz w:val="21"/>
                <w:szCs w:val="21"/>
              </w:rPr>
              <w:t>日历天（从竞包截止之日起算）。</w:t>
            </w:r>
          </w:p>
        </w:tc>
      </w:tr>
      <w:tr w14:paraId="6882FA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09AFAA9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3.3.1</w:t>
            </w:r>
          </w:p>
        </w:tc>
        <w:tc>
          <w:tcPr>
            <w:tcW w:w="2551" w:type="dxa"/>
            <w:tcBorders>
              <w:top w:val="single" w:color="auto" w:sz="4" w:space="0"/>
              <w:left w:val="single" w:color="auto" w:sz="4" w:space="0"/>
              <w:bottom w:val="single" w:color="auto" w:sz="4" w:space="0"/>
              <w:right w:val="single" w:color="auto" w:sz="4" w:space="0"/>
            </w:tcBorders>
            <w:vAlign w:val="center"/>
          </w:tcPr>
          <w:p w14:paraId="5466DD7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竞包保证金</w:t>
            </w:r>
          </w:p>
        </w:tc>
        <w:tc>
          <w:tcPr>
            <w:tcW w:w="5735" w:type="dxa"/>
            <w:tcBorders>
              <w:top w:val="single" w:color="auto" w:sz="4" w:space="0"/>
              <w:left w:val="single" w:color="auto" w:sz="4" w:space="0"/>
              <w:bottom w:val="single" w:color="auto" w:sz="4" w:space="0"/>
            </w:tcBorders>
            <w:vAlign w:val="top"/>
          </w:tcPr>
          <w:p w14:paraId="3A829B43">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竞包保证金的金额：</w:t>
            </w:r>
            <w:r>
              <w:rPr>
                <w:rFonts w:hint="eastAsia" w:ascii="宋体" w:hAnsi="宋体" w:eastAsia="宋体" w:cs="宋体"/>
                <w:sz w:val="21"/>
                <w:szCs w:val="21"/>
                <w:u w:val="single"/>
              </w:rPr>
              <w:t xml:space="preserve">   </w:t>
            </w:r>
            <w:r>
              <w:rPr>
                <w:rFonts w:hint="eastAsia" w:ascii="宋体" w:hAnsi="宋体" w:eastAsia="宋体" w:cs="宋体"/>
                <w:sz w:val="21"/>
                <w:szCs w:val="21"/>
              </w:rPr>
              <w:t>万元（不得超过项目</w:t>
            </w:r>
            <w:r>
              <w:rPr>
                <w:rFonts w:hint="eastAsia" w:cs="宋体"/>
                <w:sz w:val="21"/>
                <w:szCs w:val="21"/>
                <w:lang w:val="en-US" w:eastAsia="zh-CN"/>
              </w:rPr>
              <w:t>发包控制</w:t>
            </w:r>
            <w:r>
              <w:rPr>
                <w:rFonts w:hint="eastAsia" w:ascii="宋体" w:hAnsi="宋体" w:eastAsia="宋体" w:cs="宋体"/>
                <w:sz w:val="21"/>
                <w:szCs w:val="21"/>
              </w:rPr>
              <w:t>价的2%。）</w:t>
            </w:r>
            <w:r>
              <w:rPr>
                <w:rFonts w:hint="eastAsia" w:ascii="宋体" w:hAnsi="宋体" w:cs="宋体"/>
                <w:highlight w:val="none"/>
                <w:lang w:val="en-US" w:eastAsia="zh-CN"/>
              </w:rPr>
              <w:t>提交截止时间：</w:t>
            </w:r>
            <w:r>
              <w:rPr>
                <w:rFonts w:hint="eastAsia" w:ascii="宋体" w:hAnsi="宋体" w:cs="宋体"/>
                <w:highlight w:val="none"/>
                <w:u w:val="single"/>
                <w:lang w:val="en-US" w:eastAsia="zh-CN"/>
              </w:rPr>
              <w:t xml:space="preserve">                 。</w:t>
            </w:r>
          </w:p>
          <w:p w14:paraId="334E292C">
            <w:pPr>
              <w:pStyle w:val="112"/>
              <w:keepNext w:val="0"/>
              <w:keepLines w:val="0"/>
              <w:pageBreakBefore w:val="0"/>
              <w:kinsoku/>
              <w:wordWrap w:val="0"/>
              <w:overflowPunct/>
              <w:topLinePunct/>
              <w:autoSpaceDE/>
              <w:bidi w:val="0"/>
              <w:spacing w:line="28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详见本章附件3竞包保证金注意事项</w:t>
            </w:r>
          </w:p>
          <w:p w14:paraId="16500E43">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rPr>
              <w:t>备注：重新发包项目，参与竞包的竞包人仍需按上述规定要求重新递交竞包保证金。</w:t>
            </w:r>
          </w:p>
        </w:tc>
      </w:tr>
      <w:tr w14:paraId="5C9B1D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43DF6F1">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3.3.4</w:t>
            </w:r>
          </w:p>
        </w:tc>
        <w:tc>
          <w:tcPr>
            <w:tcW w:w="2551" w:type="dxa"/>
            <w:tcBorders>
              <w:top w:val="single" w:color="auto" w:sz="4" w:space="0"/>
              <w:left w:val="single" w:color="auto" w:sz="4" w:space="0"/>
              <w:bottom w:val="single" w:color="auto" w:sz="4" w:space="0"/>
              <w:right w:val="single" w:color="auto" w:sz="4" w:space="0"/>
            </w:tcBorders>
            <w:vAlign w:val="center"/>
          </w:tcPr>
          <w:p w14:paraId="5CCF5FB1">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其他将不予退还竞包保证金的情形</w:t>
            </w:r>
          </w:p>
        </w:tc>
        <w:tc>
          <w:tcPr>
            <w:tcW w:w="5735" w:type="dxa"/>
            <w:tcBorders>
              <w:top w:val="single" w:color="auto" w:sz="4" w:space="0"/>
              <w:left w:val="single" w:color="auto" w:sz="4" w:space="0"/>
              <w:bottom w:val="single" w:color="auto" w:sz="4" w:space="0"/>
            </w:tcBorders>
            <w:vAlign w:val="center"/>
          </w:tcPr>
          <w:p w14:paraId="3296B2A8">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□1.经查实，竞包人在本工程竞包过程中存在串通竞包或弄虚作假的。</w:t>
            </w:r>
          </w:p>
          <w:p w14:paraId="74376108">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□2.拟派项目负责人在竞包截止日有在其他在建合同工程上担任项目负责人（包括在工程总承包项目中担任施工负责人）的情形。</w:t>
            </w:r>
          </w:p>
          <w:p w14:paraId="28EF2776">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3.其他：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F8E1EE3">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注：本发包文件的“竞包保证金不予退还”是指</w:t>
            </w:r>
            <w:r>
              <w:rPr>
                <w:rFonts w:hint="eastAsia" w:ascii="宋体" w:hAnsi="宋体" w:eastAsia="宋体" w:cs="宋体"/>
                <w:sz w:val="21"/>
                <w:szCs w:val="21"/>
                <w:lang w:eastAsia="zh-CN"/>
              </w:rPr>
              <w:t>：</w:t>
            </w:r>
          </w:p>
          <w:p w14:paraId="776B4612">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（1）以现金转账形式，转账现金不予退还。</w:t>
            </w:r>
          </w:p>
          <w:p w14:paraId="7A14CDFF">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rPr>
              <w:t>（2）以</w:t>
            </w:r>
            <w:r>
              <w:rPr>
                <w:rFonts w:hint="eastAsia" w:cs="宋体"/>
                <w:sz w:val="21"/>
                <w:szCs w:val="21"/>
                <w:lang w:eastAsia="zh-CN"/>
              </w:rPr>
              <w:t>竞包</w:t>
            </w:r>
            <w:r>
              <w:rPr>
                <w:rFonts w:hint="eastAsia" w:ascii="宋体" w:hAnsi="宋体" w:eastAsia="宋体" w:cs="宋体"/>
                <w:sz w:val="21"/>
                <w:szCs w:val="21"/>
              </w:rPr>
              <w:t>电子保函形式，发包人作为受益人电子保函出函机构提起索赔。</w:t>
            </w:r>
          </w:p>
        </w:tc>
      </w:tr>
      <w:tr w14:paraId="4FF7AB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13157D3D">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3.6.3（1）</w:t>
            </w:r>
          </w:p>
        </w:tc>
        <w:tc>
          <w:tcPr>
            <w:tcW w:w="2551" w:type="dxa"/>
            <w:tcBorders>
              <w:top w:val="single" w:color="auto" w:sz="4" w:space="0"/>
              <w:left w:val="single" w:color="auto" w:sz="4" w:space="0"/>
              <w:bottom w:val="single" w:color="auto" w:sz="4" w:space="0"/>
              <w:right w:val="single" w:color="auto" w:sz="4" w:space="0"/>
            </w:tcBorders>
            <w:vAlign w:val="center"/>
          </w:tcPr>
          <w:p w14:paraId="0F275143">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电子竞包文件</w:t>
            </w:r>
          </w:p>
          <w:p w14:paraId="2E9D1567">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盖章要求</w:t>
            </w:r>
          </w:p>
        </w:tc>
        <w:tc>
          <w:tcPr>
            <w:tcW w:w="5735" w:type="dxa"/>
            <w:tcBorders>
              <w:top w:val="single" w:color="auto" w:sz="4" w:space="0"/>
              <w:left w:val="single" w:color="auto" w:sz="4" w:space="0"/>
              <w:bottom w:val="single" w:color="auto" w:sz="4" w:space="0"/>
            </w:tcBorders>
            <w:vAlign w:val="top"/>
          </w:tcPr>
          <w:p w14:paraId="4B187D12">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1.竞包文件格式文件要求竞包人盖章、法定代表人印章的地方，竞包人均应使用CA数字证书加盖竞包人的单位电子印章、法定代表人个人电子印章。联合体竞包的，竞包文件由联合体牵头人按上述规定加盖联合体牵头人单位电子印章和（或）法定代表人的个人电子印章或电子签名章。</w:t>
            </w:r>
          </w:p>
          <w:p w14:paraId="07A5B745">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bCs/>
                <w:sz w:val="21"/>
                <w:szCs w:val="21"/>
              </w:rPr>
              <w:t>2.</w:t>
            </w:r>
            <w:r>
              <w:rPr>
                <w:rFonts w:hint="eastAsia" w:ascii="宋体" w:hAnsi="宋体" w:eastAsia="宋体" w:cs="宋体"/>
                <w:sz w:val="21"/>
                <w:szCs w:val="21"/>
              </w:rPr>
              <w:t>竞包文件所附证书证件、业绩证明文件、竞包保证金等证明材料用原件复制件并加盖竞包单位电子印章；</w:t>
            </w:r>
          </w:p>
        </w:tc>
      </w:tr>
      <w:tr w14:paraId="4A4FDF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7530F048">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3.6.3（2）</w:t>
            </w:r>
          </w:p>
        </w:tc>
        <w:tc>
          <w:tcPr>
            <w:tcW w:w="2551" w:type="dxa"/>
            <w:tcBorders>
              <w:top w:val="single" w:color="auto" w:sz="4" w:space="0"/>
              <w:left w:val="single" w:color="auto" w:sz="4" w:space="0"/>
              <w:bottom w:val="single" w:color="auto" w:sz="4" w:space="0"/>
              <w:right w:val="single" w:color="auto" w:sz="4" w:space="0"/>
            </w:tcBorders>
            <w:vAlign w:val="center"/>
          </w:tcPr>
          <w:p w14:paraId="7CF51084">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电子竞包文件</w:t>
            </w:r>
          </w:p>
          <w:p w14:paraId="3D591F41">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的制作</w:t>
            </w:r>
          </w:p>
        </w:tc>
        <w:tc>
          <w:tcPr>
            <w:tcW w:w="5735" w:type="dxa"/>
            <w:tcBorders>
              <w:top w:val="single" w:color="auto" w:sz="4" w:space="0"/>
              <w:left w:val="single" w:color="auto" w:sz="4" w:space="0"/>
              <w:bottom w:val="single" w:color="auto" w:sz="4" w:space="0"/>
            </w:tcBorders>
            <w:vAlign w:val="center"/>
          </w:tcPr>
          <w:p w14:paraId="02B440FC">
            <w:pPr>
              <w:pStyle w:val="189"/>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u w:val="single"/>
              </w:rPr>
              <w:t xml:space="preserve"> （采用泰顺县</w:t>
            </w:r>
            <w:r>
              <w:rPr>
                <w:rFonts w:hint="eastAsia" w:cs="宋体"/>
                <w:sz w:val="21"/>
                <w:szCs w:val="21"/>
                <w:u w:val="single"/>
                <w:lang w:eastAsia="zh-CN"/>
              </w:rPr>
              <w:t>小额工程阳光交易</w:t>
            </w:r>
            <w:r>
              <w:rPr>
                <w:rFonts w:hint="eastAsia" w:cs="宋体"/>
                <w:sz w:val="21"/>
                <w:szCs w:val="21"/>
                <w:u w:val="single"/>
                <w:lang w:val="en-US" w:eastAsia="zh-CN"/>
              </w:rPr>
              <w:t>系统</w:t>
            </w:r>
            <w:r>
              <w:rPr>
                <w:rFonts w:hint="eastAsia" w:ascii="宋体" w:hAnsi="宋体" w:eastAsia="宋体" w:cs="宋体"/>
                <w:sz w:val="21"/>
                <w:szCs w:val="21"/>
                <w:u w:val="single"/>
              </w:rPr>
              <w:t>的电子竞包文件制作工具制作）详见附件1电子竞包文件制作相关规定</w:t>
            </w:r>
          </w:p>
        </w:tc>
      </w:tr>
      <w:tr w14:paraId="4DDF51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5" w:hRule="atLeast"/>
        </w:trPr>
        <w:tc>
          <w:tcPr>
            <w:tcW w:w="993" w:type="dxa"/>
            <w:tcBorders>
              <w:top w:val="single" w:color="auto" w:sz="4" w:space="0"/>
              <w:bottom w:val="single" w:color="auto" w:sz="4" w:space="0"/>
              <w:right w:val="single" w:color="auto" w:sz="4" w:space="0"/>
            </w:tcBorders>
            <w:vAlign w:val="center"/>
          </w:tcPr>
          <w:p w14:paraId="09A6481B">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4.1.1</w:t>
            </w:r>
          </w:p>
        </w:tc>
        <w:tc>
          <w:tcPr>
            <w:tcW w:w="2551" w:type="dxa"/>
            <w:tcBorders>
              <w:top w:val="single" w:color="auto" w:sz="4" w:space="0"/>
              <w:left w:val="single" w:color="auto" w:sz="4" w:space="0"/>
              <w:bottom w:val="single" w:color="auto" w:sz="4" w:space="0"/>
              <w:right w:val="single" w:color="auto" w:sz="4" w:space="0"/>
            </w:tcBorders>
            <w:vAlign w:val="center"/>
          </w:tcPr>
          <w:p w14:paraId="39F846AF">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电子竞包文件加密要求</w:t>
            </w:r>
          </w:p>
        </w:tc>
        <w:tc>
          <w:tcPr>
            <w:tcW w:w="5735" w:type="dxa"/>
            <w:tcBorders>
              <w:top w:val="single" w:color="auto" w:sz="4" w:space="0"/>
              <w:left w:val="single" w:color="auto" w:sz="4" w:space="0"/>
              <w:bottom w:val="single" w:color="auto" w:sz="4" w:space="0"/>
            </w:tcBorders>
            <w:vAlign w:val="center"/>
          </w:tcPr>
          <w:p w14:paraId="09DF600F">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u w:val="single"/>
              </w:rPr>
              <w:t>详见附件1电子竞包文件制作相关规定。</w:t>
            </w:r>
          </w:p>
        </w:tc>
      </w:tr>
      <w:tr w14:paraId="211E42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59484EC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4.2.2</w:t>
            </w:r>
          </w:p>
        </w:tc>
        <w:tc>
          <w:tcPr>
            <w:tcW w:w="2551" w:type="dxa"/>
            <w:tcBorders>
              <w:top w:val="single" w:color="auto" w:sz="4" w:space="0"/>
              <w:left w:val="single" w:color="auto" w:sz="4" w:space="0"/>
              <w:bottom w:val="single" w:color="auto" w:sz="4" w:space="0"/>
              <w:right w:val="single" w:color="auto" w:sz="4" w:space="0"/>
            </w:tcBorders>
            <w:vAlign w:val="center"/>
          </w:tcPr>
          <w:p w14:paraId="66B3813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电子竞包文件上传平台</w:t>
            </w:r>
          </w:p>
        </w:tc>
        <w:tc>
          <w:tcPr>
            <w:tcW w:w="5735" w:type="dxa"/>
            <w:tcBorders>
              <w:top w:val="single" w:color="auto" w:sz="4" w:space="0"/>
              <w:left w:val="single" w:color="auto" w:sz="4" w:space="0"/>
              <w:bottom w:val="single" w:color="auto" w:sz="4" w:space="0"/>
            </w:tcBorders>
            <w:vAlign w:val="center"/>
          </w:tcPr>
          <w:p w14:paraId="67C156B8">
            <w:pPr>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使用专用密钥上传至泰顺县</w:t>
            </w:r>
            <w:r>
              <w:rPr>
                <w:rFonts w:hint="eastAsia" w:ascii="宋体" w:hAnsi="宋体" w:cs="宋体"/>
                <w:sz w:val="21"/>
                <w:szCs w:val="21"/>
                <w:lang w:eastAsia="zh-CN"/>
              </w:rPr>
              <w:t>小额工程阳光交易</w:t>
            </w:r>
            <w:r>
              <w:rPr>
                <w:rFonts w:hint="eastAsia" w:ascii="宋体" w:hAnsi="宋体" w:cs="宋体"/>
                <w:sz w:val="21"/>
                <w:szCs w:val="21"/>
                <w:lang w:val="en-US" w:eastAsia="zh-CN"/>
              </w:rPr>
              <w:t>系统</w:t>
            </w:r>
            <w:r>
              <w:rPr>
                <w:rFonts w:hint="eastAsia" w:ascii="宋体" w:hAnsi="宋体" w:eastAsia="宋体" w:cs="宋体"/>
                <w:sz w:val="21"/>
                <w:szCs w:val="21"/>
              </w:rPr>
              <w:t>。</w:t>
            </w:r>
          </w:p>
          <w:p w14:paraId="7F980B52">
            <w:pPr>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rPr>
              <w:t>所有竞包文件采用电子格式由各竞包人在竞包截止时间前自行在“泰顺县</w:t>
            </w:r>
            <w:r>
              <w:rPr>
                <w:rFonts w:hint="eastAsia" w:ascii="宋体" w:hAnsi="宋体" w:cs="宋体"/>
                <w:sz w:val="21"/>
                <w:szCs w:val="21"/>
                <w:lang w:eastAsia="zh-CN"/>
              </w:rPr>
              <w:t>小额工程阳光交易</w:t>
            </w:r>
            <w:r>
              <w:rPr>
                <w:rFonts w:hint="eastAsia" w:ascii="宋体" w:hAnsi="宋体" w:cs="宋体"/>
                <w:sz w:val="21"/>
                <w:szCs w:val="21"/>
                <w:lang w:val="en-US" w:eastAsia="zh-CN"/>
              </w:rPr>
              <w:t>系统</w:t>
            </w:r>
            <w:r>
              <w:rPr>
                <w:rFonts w:hint="eastAsia" w:ascii="宋体" w:hAnsi="宋体" w:eastAsia="宋体" w:cs="宋体"/>
                <w:sz w:val="21"/>
                <w:szCs w:val="21"/>
              </w:rPr>
              <w:t xml:space="preserve">”上传。 </w:t>
            </w:r>
          </w:p>
        </w:tc>
      </w:tr>
      <w:tr w14:paraId="07231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993" w:type="dxa"/>
            <w:tcBorders>
              <w:top w:val="single" w:color="auto" w:sz="4" w:space="0"/>
              <w:bottom w:val="single" w:color="auto" w:sz="4" w:space="0"/>
              <w:right w:val="single" w:color="auto" w:sz="4" w:space="0"/>
            </w:tcBorders>
            <w:vAlign w:val="center"/>
          </w:tcPr>
          <w:p w14:paraId="6538C089">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4.2.3</w:t>
            </w:r>
          </w:p>
        </w:tc>
        <w:tc>
          <w:tcPr>
            <w:tcW w:w="2551" w:type="dxa"/>
            <w:tcBorders>
              <w:top w:val="single" w:color="auto" w:sz="4" w:space="0"/>
              <w:left w:val="single" w:color="auto" w:sz="4" w:space="0"/>
              <w:bottom w:val="single" w:color="auto" w:sz="4" w:space="0"/>
              <w:right w:val="single" w:color="auto" w:sz="4" w:space="0"/>
            </w:tcBorders>
            <w:vAlign w:val="center"/>
          </w:tcPr>
          <w:p w14:paraId="3704E595">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竞包文件退还</w:t>
            </w:r>
          </w:p>
        </w:tc>
        <w:tc>
          <w:tcPr>
            <w:tcW w:w="5735" w:type="dxa"/>
            <w:tcBorders>
              <w:top w:val="single" w:color="auto" w:sz="4" w:space="0"/>
              <w:left w:val="single" w:color="auto" w:sz="4" w:space="0"/>
              <w:bottom w:val="single" w:color="auto" w:sz="4" w:space="0"/>
            </w:tcBorders>
            <w:vAlign w:val="center"/>
          </w:tcPr>
          <w:p w14:paraId="3964F145">
            <w:pPr>
              <w:keepNext w:val="0"/>
              <w:keepLines w:val="0"/>
              <w:pageBreakBefore w:val="0"/>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rPr>
              <w:t>本项目为不见面交易，竞包文件不再退还。</w:t>
            </w:r>
          </w:p>
        </w:tc>
      </w:tr>
      <w:tr w14:paraId="743FE0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2E8B93F3">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4.2.5</w:t>
            </w:r>
          </w:p>
        </w:tc>
        <w:tc>
          <w:tcPr>
            <w:tcW w:w="2551" w:type="dxa"/>
            <w:tcBorders>
              <w:top w:val="single" w:color="auto" w:sz="4" w:space="0"/>
              <w:left w:val="single" w:color="auto" w:sz="4" w:space="0"/>
              <w:bottom w:val="single" w:color="auto" w:sz="4" w:space="0"/>
              <w:right w:val="single" w:color="auto" w:sz="4" w:space="0"/>
            </w:tcBorders>
            <w:vAlign w:val="center"/>
          </w:tcPr>
          <w:p w14:paraId="1F8DAF23">
            <w:pPr>
              <w:keepNext w:val="0"/>
              <w:keepLines w:val="0"/>
              <w:pageBreakBefore w:val="0"/>
              <w:kinsoku/>
              <w:wordWrap w:val="0"/>
              <w:overflowPunct/>
              <w:topLinePunct/>
              <w:autoSpaceDE/>
              <w:bidi w:val="0"/>
              <w:snapToGrid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电子竞包文件的拒收情形</w:t>
            </w:r>
          </w:p>
        </w:tc>
        <w:tc>
          <w:tcPr>
            <w:tcW w:w="5735" w:type="dxa"/>
            <w:tcBorders>
              <w:top w:val="single" w:color="auto" w:sz="4" w:space="0"/>
              <w:left w:val="single" w:color="auto" w:sz="4" w:space="0"/>
              <w:bottom w:val="single" w:color="auto" w:sz="4" w:space="0"/>
            </w:tcBorders>
            <w:vAlign w:val="center"/>
          </w:tcPr>
          <w:p w14:paraId="74C52A8B">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1.竞包截止时间后送达（上传）的竞包文件、未按发包文件要求上传的</w:t>
            </w:r>
            <w:r>
              <w:rPr>
                <w:rFonts w:hint="eastAsia" w:ascii="宋体" w:hAnsi="宋体" w:cs="宋体"/>
                <w:sz w:val="21"/>
                <w:szCs w:val="21"/>
                <w:lang w:eastAsia="zh-CN"/>
              </w:rPr>
              <w:t>。</w:t>
            </w:r>
          </w:p>
          <w:p w14:paraId="1B085C28">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pacing w:val="-5"/>
                <w:sz w:val="21"/>
                <w:szCs w:val="21"/>
              </w:rPr>
              <w:t>2.竞包人未按规定加密的竞包文件，应当拒收并提示。</w:t>
            </w:r>
          </w:p>
          <w:p w14:paraId="624F67D5">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pacing w:val="-5"/>
                <w:sz w:val="21"/>
                <w:szCs w:val="21"/>
              </w:rPr>
              <w:t>存在下列情况之一的，视为拒收（因发包人或系统原因导致的，另见发包文件约定）：</w:t>
            </w:r>
          </w:p>
          <w:p w14:paraId="5BEDDA3A">
            <w:pPr>
              <w:keepNext w:val="0"/>
              <w:keepLines w:val="0"/>
              <w:pageBreakBefore w:val="0"/>
              <w:kinsoku/>
              <w:wordWrap w:val="0"/>
              <w:overflowPunct/>
              <w:topLinePunct/>
              <w:autoSpaceDE/>
              <w:bidi w:val="0"/>
              <w:snapToGrid w:val="0"/>
              <w:spacing w:line="28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（1）电子竞包文件无法解密的；</w:t>
            </w:r>
          </w:p>
          <w:p w14:paraId="5E6CD0ED">
            <w:pPr>
              <w:keepNext w:val="0"/>
              <w:keepLines w:val="0"/>
              <w:pageBreakBefore w:val="0"/>
              <w:kinsoku/>
              <w:wordWrap w:val="0"/>
              <w:overflowPunct/>
              <w:topLinePunct/>
              <w:autoSpaceDE/>
              <w:bidi w:val="0"/>
              <w:snapToGrid w:val="0"/>
              <w:spacing w:line="28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（2）电子竞包文件解密后无法正确读取的；</w:t>
            </w:r>
          </w:p>
          <w:p w14:paraId="19DD47E2">
            <w:pPr>
              <w:keepNext w:val="0"/>
              <w:keepLines w:val="0"/>
              <w:pageBreakBefore w:val="0"/>
              <w:kinsoku/>
              <w:wordWrap w:val="0"/>
              <w:overflowPunct/>
              <w:topLinePunct/>
              <w:autoSpaceDE/>
              <w:bidi w:val="0"/>
              <w:snapToGrid w:val="0"/>
              <w:spacing w:line="280" w:lineRule="exact"/>
              <w:ind w:firstLine="210" w:firstLineChars="100"/>
              <w:textAlignment w:val="auto"/>
              <w:rPr>
                <w:rFonts w:hint="eastAsia" w:ascii="宋体" w:hAnsi="宋体" w:eastAsia="宋体" w:cs="宋体"/>
                <w:sz w:val="21"/>
                <w:szCs w:val="21"/>
                <w:lang w:eastAsia="zh-CN"/>
              </w:rPr>
            </w:pPr>
            <w:r>
              <w:rPr>
                <w:rFonts w:hint="eastAsia" w:ascii="宋体" w:hAnsi="宋体" w:eastAsia="宋体" w:cs="宋体"/>
                <w:sz w:val="21"/>
                <w:szCs w:val="21"/>
              </w:rPr>
              <w:t>（3）电子竞包文件无法导入成功的</w:t>
            </w:r>
            <w:r>
              <w:rPr>
                <w:rFonts w:hint="eastAsia" w:ascii="宋体" w:hAnsi="宋体" w:cs="宋体"/>
                <w:sz w:val="21"/>
                <w:szCs w:val="21"/>
                <w:lang w:eastAsia="zh-CN"/>
              </w:rPr>
              <w:t>。</w:t>
            </w:r>
          </w:p>
          <w:p w14:paraId="2FA0B32E">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rPr>
              <w:t>□4.未被邀请的竞包人提交的竞包文件</w:t>
            </w:r>
            <w:r>
              <w:rPr>
                <w:rFonts w:hint="eastAsia" w:ascii="宋体" w:hAnsi="宋体" w:eastAsia="宋体" w:cs="宋体"/>
                <w:bCs/>
                <w:sz w:val="21"/>
                <w:szCs w:val="21"/>
              </w:rPr>
              <w:t>；（适用于邀请发包的项目）。</w:t>
            </w:r>
          </w:p>
        </w:tc>
      </w:tr>
      <w:tr w14:paraId="5C54A0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19E1F1EB">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2551" w:type="dxa"/>
            <w:tcBorders>
              <w:top w:val="single" w:color="auto" w:sz="4" w:space="0"/>
              <w:left w:val="single" w:color="auto" w:sz="4" w:space="0"/>
              <w:bottom w:val="single" w:color="auto" w:sz="4" w:space="0"/>
              <w:right w:val="single" w:color="auto" w:sz="4" w:space="0"/>
            </w:tcBorders>
            <w:vAlign w:val="center"/>
          </w:tcPr>
          <w:p w14:paraId="465C1DE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cs="宋体"/>
                <w:sz w:val="21"/>
                <w:szCs w:val="21"/>
                <w:lang w:val="en-US" w:eastAsia="zh-CN"/>
              </w:rPr>
              <w:t>交易活动</w:t>
            </w:r>
            <w:r>
              <w:rPr>
                <w:rFonts w:hint="eastAsia" w:ascii="宋体" w:hAnsi="宋体" w:eastAsia="宋体" w:cs="宋体"/>
                <w:sz w:val="21"/>
                <w:szCs w:val="21"/>
              </w:rPr>
              <w:t>时间和地点</w:t>
            </w:r>
          </w:p>
        </w:tc>
        <w:tc>
          <w:tcPr>
            <w:tcW w:w="5735" w:type="dxa"/>
            <w:tcBorders>
              <w:top w:val="single" w:color="auto" w:sz="4" w:space="0"/>
              <w:left w:val="single" w:color="auto" w:sz="4" w:space="0"/>
              <w:bottom w:val="single" w:color="auto" w:sz="4" w:space="0"/>
            </w:tcBorders>
            <w:vAlign w:val="center"/>
          </w:tcPr>
          <w:p w14:paraId="198FD3D4">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1.交易时间：同电子竞包文件上传截止时间。</w:t>
            </w:r>
          </w:p>
          <w:p w14:paraId="2B9D0CBB">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rPr>
              <w:t>2.交易地点：罗阳镇（泰顺县小额工程交易</w:t>
            </w:r>
            <w:r>
              <w:rPr>
                <w:rFonts w:hint="eastAsia" w:ascii="宋体" w:hAnsi="宋体" w:cs="宋体"/>
                <w:sz w:val="21"/>
                <w:szCs w:val="21"/>
                <w:lang w:val="en-US" w:eastAsia="zh-CN"/>
              </w:rPr>
              <w:t>平台</w:t>
            </w:r>
            <w:r>
              <w:rPr>
                <w:rFonts w:hint="eastAsia" w:ascii="宋体" w:hAnsi="宋体" w:eastAsia="宋体" w:cs="宋体"/>
                <w:sz w:val="21"/>
                <w:szCs w:val="21"/>
              </w:rPr>
              <w:t>）</w:t>
            </w:r>
          </w:p>
        </w:tc>
      </w:tr>
      <w:tr w14:paraId="71D82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7FB3837F">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5.2</w:t>
            </w:r>
          </w:p>
        </w:tc>
        <w:tc>
          <w:tcPr>
            <w:tcW w:w="2551" w:type="dxa"/>
            <w:tcBorders>
              <w:top w:val="single" w:color="auto" w:sz="4" w:space="0"/>
              <w:left w:val="single" w:color="auto" w:sz="4" w:space="0"/>
              <w:bottom w:val="single" w:color="auto" w:sz="4" w:space="0"/>
              <w:right w:val="single" w:color="auto" w:sz="4" w:space="0"/>
            </w:tcBorders>
            <w:vAlign w:val="center"/>
          </w:tcPr>
          <w:p w14:paraId="273ADAD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交易</w:t>
            </w:r>
            <w:r>
              <w:rPr>
                <w:rFonts w:hint="eastAsia" w:ascii="宋体" w:hAnsi="宋体" w:eastAsia="宋体" w:cs="宋体"/>
                <w:sz w:val="21"/>
                <w:szCs w:val="21"/>
              </w:rPr>
              <w:t>程序</w:t>
            </w:r>
          </w:p>
        </w:tc>
        <w:tc>
          <w:tcPr>
            <w:tcW w:w="5735" w:type="dxa"/>
            <w:tcBorders>
              <w:top w:val="single" w:color="auto" w:sz="4" w:space="0"/>
              <w:left w:val="single" w:color="auto" w:sz="4" w:space="0"/>
              <w:bottom w:val="single" w:color="auto" w:sz="4" w:space="0"/>
            </w:tcBorders>
            <w:vAlign w:val="center"/>
          </w:tcPr>
          <w:p w14:paraId="792E836E">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u w:val="none"/>
              </w:rPr>
            </w:pPr>
            <w:r>
              <w:rPr>
                <w:rFonts w:hint="eastAsia" w:ascii="宋体" w:hAnsi="宋体" w:eastAsia="宋体" w:cs="宋体"/>
                <w:sz w:val="21"/>
                <w:szCs w:val="21"/>
                <w:u w:val="none"/>
              </w:rPr>
              <w:t>1.采用不见面方式交易：详见本章附件2不见面交易；</w:t>
            </w:r>
          </w:p>
          <w:p w14:paraId="174C3A12">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u w:val="none"/>
              </w:rPr>
              <w:t>2.邀请发包，交易截止前，有效的竞包人少于三家时，发包人应组织重新发包。</w:t>
            </w:r>
          </w:p>
        </w:tc>
      </w:tr>
      <w:tr w14:paraId="5EE59E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50228F4E">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5.4</w:t>
            </w:r>
          </w:p>
        </w:tc>
        <w:tc>
          <w:tcPr>
            <w:tcW w:w="2551" w:type="dxa"/>
            <w:tcBorders>
              <w:top w:val="single" w:color="auto" w:sz="4" w:space="0"/>
              <w:left w:val="single" w:color="auto" w:sz="4" w:space="0"/>
              <w:bottom w:val="single" w:color="auto" w:sz="4" w:space="0"/>
              <w:right w:val="single" w:color="auto" w:sz="4" w:space="0"/>
            </w:tcBorders>
            <w:vAlign w:val="center"/>
          </w:tcPr>
          <w:p w14:paraId="01691897">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特殊情况处置</w:t>
            </w:r>
          </w:p>
        </w:tc>
        <w:tc>
          <w:tcPr>
            <w:tcW w:w="5735" w:type="dxa"/>
            <w:tcBorders>
              <w:top w:val="single" w:color="auto" w:sz="4" w:space="0"/>
              <w:left w:val="single" w:color="auto" w:sz="4" w:space="0"/>
              <w:bottom w:val="single" w:color="auto" w:sz="4" w:space="0"/>
            </w:tcBorders>
            <w:vAlign w:val="center"/>
          </w:tcPr>
          <w:p w14:paraId="7081DE79">
            <w:pPr>
              <w:keepNext w:val="0"/>
              <w:keepLines w:val="0"/>
              <w:pageBreakBefore w:val="0"/>
              <w:kinsoku/>
              <w:wordWrap w:val="0"/>
              <w:overflowPunct/>
              <w:topLinePunct/>
              <w:autoSpaceDE/>
              <w:bidi w:val="0"/>
              <w:spacing w:line="280" w:lineRule="exact"/>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1.因网络、系统、电力等不可抗力因素延期交易的，需更新制作竞包文件并按发包文件要求重新递交。</w:t>
            </w:r>
          </w:p>
          <w:p w14:paraId="632DD392">
            <w:pPr>
              <w:keepNext w:val="0"/>
              <w:keepLines w:val="0"/>
              <w:pageBreakBefore w:val="0"/>
              <w:kinsoku/>
              <w:wordWrap w:val="0"/>
              <w:overflowPunct/>
              <w:topLinePunct/>
              <w:autoSpaceDE/>
              <w:bidi w:val="0"/>
              <w:spacing w:line="280" w:lineRule="exact"/>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□2.交易特别说明：</w:t>
            </w:r>
          </w:p>
          <w:p w14:paraId="4CC0DA29">
            <w:pPr>
              <w:keepNext w:val="0"/>
              <w:keepLines w:val="0"/>
              <w:pageBreakBefore w:val="0"/>
              <w:kinsoku/>
              <w:wordWrap w:val="0"/>
              <w:overflowPunct/>
              <w:topLinePunct/>
              <w:autoSpaceDE/>
              <w:bidi w:val="0"/>
              <w:spacing w:line="280" w:lineRule="exact"/>
              <w:ind w:firstLine="210" w:firstLineChars="1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（1）竞包截止时间前未完成竞包文件传输的，视为</w:t>
            </w:r>
            <w:r>
              <w:rPr>
                <w:rFonts w:hint="eastAsia" w:ascii="宋体" w:hAnsi="宋体" w:eastAsia="宋体" w:cs="宋体"/>
                <w:sz w:val="21"/>
                <w:szCs w:val="21"/>
                <w:shd w:val="clear" w:color="auto" w:fill="FFFFFF"/>
                <w:lang w:val="en-US" w:eastAsia="zh-CN"/>
              </w:rPr>
              <w:t>撤销</w:t>
            </w:r>
            <w:r>
              <w:rPr>
                <w:rFonts w:hint="eastAsia" w:ascii="宋体" w:hAnsi="宋体" w:eastAsia="宋体" w:cs="宋体"/>
                <w:sz w:val="21"/>
                <w:szCs w:val="21"/>
                <w:shd w:val="clear" w:color="auto" w:fill="FFFFFF"/>
              </w:rPr>
              <w:t>竞包文件；因竞包人之外的原因造成电子竞包文件未解密的，视为撤回其竞包文件。</w:t>
            </w:r>
          </w:p>
          <w:p w14:paraId="3F045B1E">
            <w:pPr>
              <w:keepNext w:val="0"/>
              <w:keepLines w:val="0"/>
              <w:pageBreakBefore w:val="0"/>
              <w:kinsoku/>
              <w:wordWrap w:val="0"/>
              <w:overflowPunct/>
              <w:topLinePunct/>
              <w:autoSpaceDE/>
              <w:bidi w:val="0"/>
              <w:spacing w:line="280" w:lineRule="exact"/>
              <w:ind w:firstLine="210" w:firstLineChars="1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（2）竞包人必须使用生成电子竞包文件的CA数字证书解密电子竞包文件。</w:t>
            </w:r>
          </w:p>
          <w:p w14:paraId="6667B62C">
            <w:pPr>
              <w:keepNext w:val="0"/>
              <w:keepLines w:val="0"/>
              <w:pageBreakBefore w:val="0"/>
              <w:kinsoku/>
              <w:wordWrap w:val="0"/>
              <w:overflowPunct/>
              <w:topLinePunct/>
              <w:autoSpaceDE/>
              <w:bidi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shd w:val="clear" w:color="auto" w:fill="FFFFFF"/>
              </w:rPr>
              <w:t>3.其他：</w:t>
            </w:r>
            <w:r>
              <w:rPr>
                <w:rFonts w:hint="eastAsia" w:ascii="宋体" w:hAnsi="宋体" w:eastAsia="宋体" w:cs="宋体"/>
                <w:sz w:val="21"/>
                <w:szCs w:val="21"/>
                <w:u w:val="single"/>
                <w:shd w:val="clear" w:color="auto" w:fill="FFFFFF"/>
              </w:rPr>
              <w:t xml:space="preserve">               </w:t>
            </w:r>
            <w:r>
              <w:rPr>
                <w:rFonts w:hint="eastAsia" w:ascii="宋体" w:hAnsi="宋体" w:eastAsia="宋体" w:cs="宋体"/>
                <w:sz w:val="21"/>
                <w:szCs w:val="21"/>
                <w:shd w:val="clear" w:color="auto" w:fill="FFFFFF"/>
              </w:rPr>
              <w:t xml:space="preserve">。                           </w:t>
            </w:r>
          </w:p>
        </w:tc>
      </w:tr>
      <w:tr w14:paraId="21050C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3" w:hRule="atLeast"/>
        </w:trPr>
        <w:tc>
          <w:tcPr>
            <w:tcW w:w="993" w:type="dxa"/>
            <w:tcBorders>
              <w:top w:val="single" w:color="auto" w:sz="4" w:space="0"/>
              <w:bottom w:val="single" w:color="auto" w:sz="4" w:space="0"/>
              <w:right w:val="single" w:color="auto" w:sz="4" w:space="0"/>
            </w:tcBorders>
            <w:vAlign w:val="center"/>
          </w:tcPr>
          <w:p w14:paraId="69A82D54">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6.1.1</w:t>
            </w:r>
          </w:p>
        </w:tc>
        <w:tc>
          <w:tcPr>
            <w:tcW w:w="2551" w:type="dxa"/>
            <w:tcBorders>
              <w:top w:val="single" w:color="auto" w:sz="4" w:space="0"/>
              <w:left w:val="single" w:color="auto" w:sz="4" w:space="0"/>
              <w:bottom w:val="single" w:color="auto" w:sz="4" w:space="0"/>
              <w:right w:val="single" w:color="auto" w:sz="4" w:space="0"/>
            </w:tcBorders>
            <w:vAlign w:val="center"/>
          </w:tcPr>
          <w:p w14:paraId="75483778">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评审委员会的组建</w:t>
            </w:r>
          </w:p>
        </w:tc>
        <w:tc>
          <w:tcPr>
            <w:tcW w:w="5735" w:type="dxa"/>
            <w:tcBorders>
              <w:top w:val="single" w:color="auto" w:sz="4" w:space="0"/>
              <w:left w:val="single" w:color="auto" w:sz="4" w:space="0"/>
              <w:bottom w:val="single" w:color="auto" w:sz="4" w:space="0"/>
            </w:tcBorders>
            <w:vAlign w:val="center"/>
          </w:tcPr>
          <w:p w14:paraId="61A5E9BC">
            <w:pPr>
              <w:keepNext w:val="0"/>
              <w:keepLines w:val="0"/>
              <w:pageBreakBefore w:val="0"/>
              <w:kinsoku/>
              <w:overflowPunct/>
              <w:autoSpaceDE/>
              <w:bidi w:val="0"/>
              <w:spacing w:line="280" w:lineRule="exac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评审委员会构成：</w:t>
            </w:r>
            <w:r>
              <w:rPr>
                <w:rFonts w:hint="eastAsia" w:ascii="宋体" w:hAnsi="宋体" w:eastAsia="宋体" w:cs="宋体"/>
                <w:sz w:val="21"/>
                <w:szCs w:val="21"/>
                <w:shd w:val="clear" w:color="auto" w:fill="FFFFFF"/>
                <w:lang w:val="en-US"/>
              </w:rPr>
              <w:t>3</w:t>
            </w:r>
            <w:r>
              <w:rPr>
                <w:rFonts w:hint="eastAsia" w:ascii="宋体" w:hAnsi="宋体" w:eastAsia="宋体" w:cs="宋体"/>
                <w:sz w:val="21"/>
                <w:szCs w:val="21"/>
                <w:shd w:val="clear" w:color="auto" w:fill="FFFFFF"/>
              </w:rPr>
              <w:t>人及以上单数</w:t>
            </w:r>
          </w:p>
          <w:p w14:paraId="06191942">
            <w:pPr>
              <w:keepNext w:val="0"/>
              <w:keepLines w:val="0"/>
              <w:pageBreakBefore w:val="0"/>
              <w:kinsoku/>
              <w:overflowPunct/>
              <w:autoSpaceDE/>
              <w:bidi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shd w:val="clear" w:color="auto" w:fill="FFFFFF"/>
              </w:rPr>
              <w:t>评审专家确定方式：按规定组建</w:t>
            </w:r>
          </w:p>
        </w:tc>
      </w:tr>
      <w:tr w14:paraId="755795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993" w:type="dxa"/>
            <w:tcBorders>
              <w:top w:val="single" w:color="auto" w:sz="4" w:space="0"/>
              <w:bottom w:val="single" w:color="auto" w:sz="4" w:space="0"/>
              <w:right w:val="single" w:color="auto" w:sz="4" w:space="0"/>
            </w:tcBorders>
            <w:vAlign w:val="center"/>
          </w:tcPr>
          <w:p w14:paraId="78BF3514">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6.3</w:t>
            </w:r>
          </w:p>
        </w:tc>
        <w:tc>
          <w:tcPr>
            <w:tcW w:w="2551" w:type="dxa"/>
            <w:tcBorders>
              <w:top w:val="single" w:color="auto" w:sz="4" w:space="0"/>
              <w:left w:val="single" w:color="auto" w:sz="4" w:space="0"/>
              <w:bottom w:val="single" w:color="auto" w:sz="4" w:space="0"/>
              <w:right w:val="single" w:color="auto" w:sz="4" w:space="0"/>
            </w:tcBorders>
            <w:vAlign w:val="center"/>
          </w:tcPr>
          <w:p w14:paraId="40208C7B">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评审办法</w:t>
            </w:r>
          </w:p>
        </w:tc>
        <w:tc>
          <w:tcPr>
            <w:tcW w:w="5735" w:type="dxa"/>
            <w:tcBorders>
              <w:top w:val="single" w:color="auto" w:sz="4" w:space="0"/>
              <w:left w:val="single" w:color="auto" w:sz="4" w:space="0"/>
              <w:bottom w:val="single" w:color="auto" w:sz="4" w:space="0"/>
            </w:tcBorders>
            <w:vAlign w:val="center"/>
          </w:tcPr>
          <w:p w14:paraId="27E9C8E9">
            <w:pPr>
              <w:keepNext w:val="0"/>
              <w:keepLines w:val="0"/>
              <w:pageBreakBefore w:val="0"/>
              <w:kinsoku/>
              <w:overflowPunct/>
              <w:autoSpaceDE/>
              <w:bidi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val="en-US"/>
              </w:rPr>
              <w:t>随机抽取法；</w:t>
            </w:r>
            <w:r>
              <w:rPr>
                <w:rFonts w:hint="eastAsia" w:ascii="宋体" w:hAnsi="宋体" w:eastAsia="宋体" w:cs="宋体"/>
                <w:sz w:val="21"/>
                <w:szCs w:val="21"/>
                <w:shd w:val="clear" w:color="auto" w:fill="FFFFFF"/>
              </w:rPr>
              <w:t>□</w:t>
            </w:r>
            <w:r>
              <w:rPr>
                <w:rFonts w:hint="eastAsia" w:ascii="宋体" w:hAnsi="宋体" w:eastAsia="宋体" w:cs="宋体"/>
                <w:sz w:val="21"/>
                <w:szCs w:val="21"/>
                <w:shd w:val="clear" w:color="auto" w:fill="FFFFFF"/>
                <w:lang w:val="en-US"/>
              </w:rPr>
              <w:t>下浮率法</w:t>
            </w:r>
          </w:p>
        </w:tc>
      </w:tr>
      <w:tr w14:paraId="48873D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42A862E">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6.3.2</w:t>
            </w:r>
          </w:p>
        </w:tc>
        <w:tc>
          <w:tcPr>
            <w:tcW w:w="2551" w:type="dxa"/>
            <w:tcBorders>
              <w:top w:val="single" w:color="auto" w:sz="4" w:space="0"/>
              <w:left w:val="single" w:color="auto" w:sz="4" w:space="0"/>
              <w:bottom w:val="single" w:color="auto" w:sz="4" w:space="0"/>
              <w:right w:val="single" w:color="auto" w:sz="4" w:space="0"/>
            </w:tcBorders>
            <w:vAlign w:val="center"/>
          </w:tcPr>
          <w:p w14:paraId="53F0680D">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评审委员会推荐承包候选人的人数</w:t>
            </w:r>
          </w:p>
        </w:tc>
        <w:tc>
          <w:tcPr>
            <w:tcW w:w="5735" w:type="dxa"/>
            <w:tcBorders>
              <w:top w:val="single" w:color="auto" w:sz="4" w:space="0"/>
              <w:left w:val="single" w:color="auto" w:sz="4" w:space="0"/>
              <w:bottom w:val="single" w:color="auto" w:sz="4" w:space="0"/>
            </w:tcBorders>
            <w:vAlign w:val="center"/>
          </w:tcPr>
          <w:p w14:paraId="4A8B8434">
            <w:pPr>
              <w:keepNext w:val="0"/>
              <w:keepLines w:val="0"/>
              <w:pageBreakBefore w:val="0"/>
              <w:kinsoku/>
              <w:wordWrap w:val="0"/>
              <w:overflowPunct/>
              <w:topLinePunct/>
              <w:autoSpaceDE/>
              <w:bidi w:val="0"/>
              <w:adjustRightInd/>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z w:val="21"/>
                <w:szCs w:val="21"/>
              </w:rPr>
              <w:t>推荐的承包候选人数：</w:t>
            </w:r>
            <w:r>
              <w:rPr>
                <w:rFonts w:hint="eastAsia" w:ascii="宋体" w:hAnsi="宋体" w:eastAsia="宋体" w:cs="宋体"/>
                <w:sz w:val="21"/>
                <w:szCs w:val="21"/>
                <w:u w:val="single"/>
                <w:shd w:val="clear" w:color="auto" w:fill="FFFFFF"/>
              </w:rPr>
              <w:t>（1名）</w:t>
            </w:r>
            <w:r>
              <w:rPr>
                <w:rFonts w:hint="eastAsia" w:ascii="宋体" w:hAnsi="宋体" w:eastAsia="宋体" w:cs="宋体"/>
                <w:sz w:val="21"/>
                <w:szCs w:val="21"/>
                <w:shd w:val="clear" w:color="auto" w:fill="FFFFFF"/>
              </w:rPr>
              <w:t>。</w:t>
            </w:r>
          </w:p>
        </w:tc>
      </w:tr>
      <w:tr w14:paraId="7A578E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4D9EB128">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bookmarkStart w:id="81" w:name="_Hlk90925452"/>
            <w:r>
              <w:rPr>
                <w:rFonts w:hint="eastAsia" w:ascii="宋体" w:hAnsi="宋体" w:eastAsia="宋体" w:cs="宋体"/>
                <w:sz w:val="21"/>
                <w:szCs w:val="21"/>
              </w:rPr>
              <w:t>7.1</w:t>
            </w:r>
          </w:p>
        </w:tc>
        <w:tc>
          <w:tcPr>
            <w:tcW w:w="2551" w:type="dxa"/>
            <w:tcBorders>
              <w:top w:val="single" w:color="auto" w:sz="4" w:space="0"/>
              <w:left w:val="single" w:color="auto" w:sz="4" w:space="0"/>
              <w:bottom w:val="single" w:color="auto" w:sz="4" w:space="0"/>
              <w:right w:val="single" w:color="auto" w:sz="4" w:space="0"/>
            </w:tcBorders>
            <w:vAlign w:val="center"/>
          </w:tcPr>
          <w:p w14:paraId="3D4E26B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cs="宋体"/>
                <w:sz w:val="21"/>
                <w:szCs w:val="21"/>
                <w:lang w:val="en-US" w:eastAsia="zh-CN"/>
              </w:rPr>
              <w:t>预</w:t>
            </w:r>
            <w:r>
              <w:rPr>
                <w:rFonts w:hint="eastAsia" w:ascii="宋体" w:hAnsi="宋体" w:eastAsia="宋体" w:cs="宋体"/>
                <w:sz w:val="21"/>
                <w:szCs w:val="21"/>
              </w:rPr>
              <w:t>承包公示媒介及期限</w:t>
            </w:r>
          </w:p>
        </w:tc>
        <w:tc>
          <w:tcPr>
            <w:tcW w:w="5735" w:type="dxa"/>
            <w:tcBorders>
              <w:top w:val="single" w:color="auto" w:sz="4" w:space="0"/>
              <w:left w:val="single" w:color="auto" w:sz="4" w:space="0"/>
              <w:bottom w:val="single" w:color="auto" w:sz="4" w:space="0"/>
            </w:tcBorders>
            <w:vAlign w:val="center"/>
          </w:tcPr>
          <w:p w14:paraId="7ED95A63">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公示媒介：泰顺县</w:t>
            </w:r>
            <w:r>
              <w:rPr>
                <w:rFonts w:hint="eastAsia" w:ascii="宋体" w:hAnsi="宋体" w:cs="宋体"/>
                <w:sz w:val="21"/>
                <w:szCs w:val="21"/>
                <w:lang w:eastAsia="zh-CN"/>
              </w:rPr>
              <w:t>小额工程阳光交易网</w:t>
            </w:r>
          </w:p>
          <w:p w14:paraId="585D7F20">
            <w:pPr>
              <w:pStyle w:val="189"/>
              <w:keepNext w:val="0"/>
              <w:keepLines w:val="0"/>
              <w:pageBreakBefore w:val="0"/>
              <w:tabs>
                <w:tab w:val="left" w:pos="2100"/>
              </w:tabs>
              <w:kinsoku/>
              <w:wordWrap w:val="0"/>
              <w:overflowPunct/>
              <w:topLinePunct/>
              <w:autoSpaceDE/>
              <w:bidi w:val="0"/>
              <w:snapToGrid w:val="0"/>
              <w:spacing w:line="280" w:lineRule="exact"/>
              <w:jc w:val="both"/>
              <w:textAlignment w:val="auto"/>
              <w:rPr>
                <w:rFonts w:hint="eastAsia" w:ascii="宋体" w:hAnsi="宋体" w:eastAsia="宋体" w:cs="宋体"/>
                <w:snapToGrid w:val="0"/>
                <w:sz w:val="21"/>
                <w:szCs w:val="21"/>
              </w:rPr>
            </w:pPr>
            <w:r>
              <w:rPr>
                <w:rFonts w:hint="eastAsia" w:ascii="宋体" w:hAnsi="宋体" w:eastAsia="宋体" w:cs="宋体"/>
                <w:spacing w:val="-2"/>
                <w:sz w:val="21"/>
                <w:szCs w:val="21"/>
              </w:rPr>
              <w:t>公示期限：不少于3日。如遇国家法定休假日，顺延至法定休假日后第一个工作日。</w:t>
            </w:r>
          </w:p>
        </w:tc>
      </w:tr>
      <w:tr w14:paraId="5062B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18865F93">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7.2</w:t>
            </w:r>
          </w:p>
        </w:tc>
        <w:tc>
          <w:tcPr>
            <w:tcW w:w="2551" w:type="dxa"/>
            <w:tcBorders>
              <w:top w:val="single" w:color="auto" w:sz="4" w:space="0"/>
              <w:left w:val="single" w:color="auto" w:sz="4" w:space="0"/>
              <w:bottom w:val="single" w:color="auto" w:sz="4" w:space="0"/>
              <w:right w:val="single" w:color="auto" w:sz="4" w:space="0"/>
            </w:tcBorders>
            <w:vAlign w:val="center"/>
          </w:tcPr>
          <w:p w14:paraId="26127EF7">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是否授权评审委员会确定承包</w:t>
            </w:r>
            <w:r>
              <w:rPr>
                <w:rFonts w:hint="eastAsia" w:cs="宋体"/>
                <w:sz w:val="21"/>
                <w:szCs w:val="21"/>
                <w:lang w:val="en-US" w:eastAsia="zh-CN"/>
              </w:rPr>
              <w:t>候选人</w:t>
            </w:r>
          </w:p>
        </w:tc>
        <w:tc>
          <w:tcPr>
            <w:tcW w:w="5735" w:type="dxa"/>
            <w:tcBorders>
              <w:top w:val="single" w:color="auto" w:sz="4" w:space="0"/>
              <w:left w:val="single" w:color="auto" w:sz="4" w:space="0"/>
              <w:bottom w:val="single" w:color="auto" w:sz="4" w:space="0"/>
            </w:tcBorders>
            <w:vAlign w:val="top"/>
          </w:tcPr>
          <w:p w14:paraId="797D8D1F">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□是。</w:t>
            </w:r>
          </w:p>
          <w:p w14:paraId="4624C78D">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□否。</w:t>
            </w:r>
          </w:p>
          <w:p w14:paraId="0BF96249">
            <w:pPr>
              <w:pStyle w:val="189"/>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napToGrid w:val="0"/>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140C2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4A6E730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7.4</w:t>
            </w:r>
          </w:p>
        </w:tc>
        <w:tc>
          <w:tcPr>
            <w:tcW w:w="2551" w:type="dxa"/>
            <w:tcBorders>
              <w:top w:val="single" w:color="auto" w:sz="4" w:space="0"/>
              <w:left w:val="single" w:color="auto" w:sz="4" w:space="0"/>
              <w:bottom w:val="single" w:color="auto" w:sz="4" w:space="0"/>
              <w:right w:val="single" w:color="auto" w:sz="4" w:space="0"/>
            </w:tcBorders>
            <w:vAlign w:val="center"/>
          </w:tcPr>
          <w:p w14:paraId="1A0F6F16">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履约担保及工程款支付</w:t>
            </w:r>
          </w:p>
          <w:p w14:paraId="2FDF9A7F">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担保</w:t>
            </w:r>
          </w:p>
        </w:tc>
        <w:tc>
          <w:tcPr>
            <w:tcW w:w="5735" w:type="dxa"/>
            <w:tcBorders>
              <w:top w:val="single" w:color="auto" w:sz="4" w:space="0"/>
              <w:left w:val="single" w:color="auto" w:sz="4" w:space="0"/>
              <w:bottom w:val="single" w:color="auto" w:sz="4" w:space="0"/>
            </w:tcBorders>
            <w:vAlign w:val="center"/>
          </w:tcPr>
          <w:p w14:paraId="16E746B8">
            <w:pPr>
              <w:pStyle w:val="189"/>
              <w:keepNext w:val="0"/>
              <w:keepLines w:val="0"/>
              <w:pageBreakBefore w:val="0"/>
              <w:kinsoku/>
              <w:wordWrap w:val="0"/>
              <w:overflowPunct/>
              <w:topLine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履约担保的金额：合同总价的 </w:t>
            </w:r>
            <w:r>
              <w:rPr>
                <w:rFonts w:hint="eastAsia" w:ascii="宋体" w:hAnsi="宋体" w:eastAsia="宋体" w:cs="宋体"/>
                <w:sz w:val="21"/>
                <w:szCs w:val="21"/>
                <w:u w:val="single"/>
              </w:rPr>
              <w:t xml:space="preserve">   </w:t>
            </w:r>
            <w:r>
              <w:rPr>
                <w:rFonts w:hint="eastAsia" w:ascii="宋体" w:hAnsi="宋体" w:eastAsia="宋体" w:cs="宋体"/>
                <w:sz w:val="21"/>
                <w:szCs w:val="21"/>
              </w:rPr>
              <w:t>%（不得超过2%）。</w:t>
            </w:r>
          </w:p>
          <w:p w14:paraId="3B8B83CD">
            <w:pPr>
              <w:pStyle w:val="189"/>
              <w:keepNext w:val="0"/>
              <w:keepLines w:val="0"/>
              <w:pageBreakBefore w:val="0"/>
              <w:kinsoku/>
              <w:wordWrap w:val="0"/>
              <w:overflowPunct/>
              <w:topLine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工程款支付担保的金额：与履约担保同比例。</w:t>
            </w:r>
          </w:p>
          <w:p w14:paraId="6122B7B0">
            <w:pPr>
              <w:pStyle w:val="189"/>
              <w:keepNext w:val="0"/>
              <w:keepLines w:val="0"/>
              <w:pageBreakBefore w:val="0"/>
              <w:kinsoku/>
              <w:wordWrap w:val="0"/>
              <w:overflowPunct/>
              <w:topLine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履约担保/工程款支付担保的形式：现金、工程保函。</w:t>
            </w:r>
          </w:p>
        </w:tc>
      </w:tr>
      <w:bookmarkEnd w:id="81"/>
      <w:tr w14:paraId="45CFFE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6BA05BB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551" w:type="dxa"/>
            <w:tcBorders>
              <w:top w:val="single" w:color="auto" w:sz="4" w:space="0"/>
              <w:left w:val="single" w:color="auto" w:sz="4" w:space="0"/>
              <w:bottom w:val="single" w:color="auto" w:sz="4" w:space="0"/>
              <w:right w:val="single" w:color="auto" w:sz="4" w:space="0"/>
            </w:tcBorders>
            <w:vAlign w:val="center"/>
          </w:tcPr>
          <w:p w14:paraId="6D8D5197">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可不再发包的情形</w:t>
            </w:r>
          </w:p>
        </w:tc>
        <w:tc>
          <w:tcPr>
            <w:tcW w:w="5735" w:type="dxa"/>
            <w:tcBorders>
              <w:top w:val="single" w:color="auto" w:sz="4" w:space="0"/>
              <w:left w:val="single" w:color="auto" w:sz="4" w:space="0"/>
              <w:bottom w:val="single" w:color="auto" w:sz="4" w:space="0"/>
            </w:tcBorders>
            <w:vAlign w:val="center"/>
          </w:tcPr>
          <w:p w14:paraId="49D58C55">
            <w:pPr>
              <w:pStyle w:val="189"/>
              <w:keepNext w:val="0"/>
              <w:keepLines w:val="0"/>
              <w:pageBreakBefore w:val="0"/>
              <w:kinsoku/>
              <w:overflowPunct/>
              <w:autoSpaceDE/>
              <w:bidi w:val="0"/>
              <w:spacing w:line="28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cs="宋体"/>
                <w:sz w:val="21"/>
                <w:szCs w:val="21"/>
                <w:lang w:val="en-US" w:eastAsia="zh-CN"/>
              </w:rPr>
              <w:t>公开发包：</w:t>
            </w:r>
          </w:p>
          <w:p w14:paraId="708A8245">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1.评审委员会按发包文件否决所有竞包人；</w:t>
            </w:r>
          </w:p>
          <w:p w14:paraId="4EA35B1B">
            <w:pPr>
              <w:pStyle w:val="2"/>
              <w:keepNext w:val="0"/>
              <w:keepLines w:val="0"/>
              <w:pageBreakBefore w:val="0"/>
              <w:framePr w:wrap="auto" w:vAnchor="margin" w:hAnchor="text" w:yAlign="inline"/>
              <w:kinsoku/>
              <w:wordWrap w:val="0"/>
              <w:overflowPunct/>
              <w:topLinePunct/>
              <w:autoSpaceDE/>
              <w:bidi w:val="0"/>
              <w:spacing w:before="0" w:beforeLines="0" w:after="0" w:afterLines="0" w:line="28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2.有效竞包人少于1家。</w:t>
            </w:r>
          </w:p>
          <w:p w14:paraId="65CA8A8E">
            <w:pPr>
              <w:pStyle w:val="2"/>
              <w:keepNext w:val="0"/>
              <w:keepLines w:val="0"/>
              <w:pageBreakBefore w:val="0"/>
              <w:framePr w:wrap="auto" w:vAnchor="margin" w:hAnchor="text" w:yAlign="inline"/>
              <w:kinsoku/>
              <w:wordWrap w:val="0"/>
              <w:overflowPunct/>
              <w:topLinePunct/>
              <w:autoSpaceDE/>
              <w:bidi w:val="0"/>
              <w:spacing w:before="0" w:beforeLines="0" w:after="0" w:afterLines="0" w:line="28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hAnsi="宋体" w:cs="宋体"/>
                <w:sz w:val="21"/>
                <w:szCs w:val="21"/>
                <w:lang w:val="en-US" w:eastAsia="zh-CN"/>
              </w:rPr>
              <w:t>邀请发包</w:t>
            </w:r>
          </w:p>
          <w:p w14:paraId="61B328C3">
            <w:pPr>
              <w:pStyle w:val="2"/>
              <w:keepNext w:val="0"/>
              <w:keepLines w:val="0"/>
              <w:pageBreakBefore w:val="0"/>
              <w:framePr w:wrap="auto" w:vAnchor="margin" w:hAnchor="text" w:yAlign="inline"/>
              <w:kinsoku/>
              <w:wordWrap w:val="0"/>
              <w:overflowPunct/>
              <w:topLinePunct/>
              <w:autoSpaceDE/>
              <w:bidi w:val="0"/>
              <w:spacing w:before="0" w:beforeLines="0" w:after="0" w:afterLines="0" w:line="280" w:lineRule="exact"/>
              <w:ind w:left="0" w:leftChars="0" w:firstLine="0" w:firstLineChars="0"/>
              <w:jc w:val="both"/>
              <w:textAlignment w:val="auto"/>
              <w:rPr>
                <w:rFonts w:hint="default" w:hAnsi="宋体" w:cs="宋体"/>
                <w:sz w:val="21"/>
                <w:szCs w:val="21"/>
                <w:lang w:val="en-US" w:eastAsia="zh-CN"/>
              </w:rPr>
            </w:pPr>
            <w:r>
              <w:rPr>
                <w:rFonts w:hint="eastAsia" w:hAnsi="宋体" w:cs="宋体"/>
                <w:sz w:val="21"/>
                <w:szCs w:val="21"/>
                <w:lang w:val="en-US" w:eastAsia="zh-CN"/>
              </w:rPr>
              <w:t>发包人在再次邀请发包后：</w:t>
            </w:r>
          </w:p>
          <w:p w14:paraId="6BE65AFB">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hAnsi="宋体" w:cs="宋体"/>
                <w:sz w:val="21"/>
                <w:szCs w:val="21"/>
                <w:lang w:val="en-US" w:eastAsia="zh-CN"/>
              </w:rPr>
              <w:t>1.</w:t>
            </w:r>
            <w:r>
              <w:rPr>
                <w:rFonts w:hint="eastAsia" w:ascii="宋体" w:hAnsi="宋体" w:eastAsia="宋体" w:cs="宋体"/>
                <w:sz w:val="21"/>
                <w:szCs w:val="21"/>
              </w:rPr>
              <w:t>评审委员会按发包文件否决所有竞包人；</w:t>
            </w:r>
          </w:p>
          <w:p w14:paraId="30CCACC4">
            <w:pPr>
              <w:pStyle w:val="2"/>
              <w:keepNext w:val="0"/>
              <w:keepLines w:val="0"/>
              <w:pageBreakBefore w:val="0"/>
              <w:framePr w:wrap="auto" w:vAnchor="margin" w:hAnchor="text" w:yAlign="inline"/>
              <w:kinsoku/>
              <w:wordWrap w:val="0"/>
              <w:overflowPunct/>
              <w:topLinePunct/>
              <w:autoSpaceDE/>
              <w:bidi w:val="0"/>
              <w:spacing w:before="0" w:beforeLines="0" w:after="0" w:afterLines="0" w:line="28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2.有效竞包人少于1家。</w:t>
            </w:r>
          </w:p>
        </w:tc>
      </w:tr>
      <w:tr w14:paraId="46F0F7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697727D5">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14:paraId="34C10E3E">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需要补充的</w:t>
            </w:r>
          </w:p>
          <w:p w14:paraId="4C429D40">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其他内容</w:t>
            </w:r>
          </w:p>
        </w:tc>
        <w:tc>
          <w:tcPr>
            <w:tcW w:w="5735" w:type="dxa"/>
            <w:tcBorders>
              <w:top w:val="single" w:color="auto" w:sz="4" w:space="0"/>
              <w:left w:val="single" w:color="auto" w:sz="4" w:space="0"/>
              <w:bottom w:val="single" w:color="auto" w:sz="4" w:space="0"/>
            </w:tcBorders>
            <w:vAlign w:val="center"/>
          </w:tcPr>
          <w:p w14:paraId="717E02EF">
            <w:pPr>
              <w:keepNext w:val="0"/>
              <w:keepLines w:val="0"/>
              <w:pageBreakBefore w:val="0"/>
              <w:kinsoku/>
              <w:wordWrap w:val="0"/>
              <w:overflowPunct/>
              <w:topLinePunct/>
              <w:autoSpaceDE/>
              <w:bidi w:val="0"/>
              <w:snapToGrid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投诉受理的具体部门：</w:t>
            </w:r>
          </w:p>
          <w:p w14:paraId="3370486E">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bidi="ar-SA"/>
              </w:rPr>
              <w:t>□</w:t>
            </w:r>
            <w:r>
              <w:rPr>
                <w:rFonts w:hint="eastAsia" w:ascii="宋体" w:hAnsi="宋体" w:eastAsia="宋体" w:cs="宋体"/>
                <w:sz w:val="21"/>
                <w:szCs w:val="21"/>
              </w:rPr>
              <w:t>泰顺县</w:t>
            </w:r>
            <w:r>
              <w:rPr>
                <w:rFonts w:hint="eastAsia" w:ascii="宋体" w:hAnsi="宋体" w:eastAsia="宋体" w:cs="宋体"/>
                <w:sz w:val="21"/>
                <w:szCs w:val="21"/>
                <w:lang w:bidi="ar-SA"/>
              </w:rPr>
              <w:t>交通运输局</w:t>
            </w:r>
            <w:r>
              <w:rPr>
                <w:rFonts w:hint="eastAsia" w:ascii="宋体" w:hAnsi="宋体" w:eastAsia="宋体" w:cs="宋体"/>
                <w:sz w:val="21"/>
                <w:szCs w:val="21"/>
                <w:lang w:val="en-US" w:eastAsia="zh-CN" w:bidi="ar-SA"/>
              </w:rPr>
              <w:t xml:space="preserve">          电话： </w:t>
            </w:r>
          </w:p>
          <w:p w14:paraId="22B6E6AC">
            <w:pPr>
              <w:pStyle w:val="189"/>
              <w:keepNext w:val="0"/>
              <w:keepLines w:val="0"/>
              <w:pageBreakBefore w:val="0"/>
              <w:kinsoku/>
              <w:overflowPunct/>
              <w:autoSpaceDE/>
              <w:bidi w:val="0"/>
              <w:spacing w:line="280" w:lineRule="exact"/>
              <w:textAlignment w:val="auto"/>
              <w:rPr>
                <w:rFonts w:hint="default"/>
                <w:lang w:val="en-US"/>
              </w:rPr>
            </w:pPr>
            <w:r>
              <w:rPr>
                <w:rFonts w:hint="eastAsia" w:ascii="宋体" w:hAnsi="宋体" w:eastAsia="宋体" w:cs="宋体"/>
                <w:sz w:val="21"/>
                <w:szCs w:val="21"/>
                <w:lang w:bidi="ar-SA"/>
              </w:rPr>
              <w:t>□</w:t>
            </w:r>
            <w:r>
              <w:rPr>
                <w:rFonts w:hint="eastAsia" w:ascii="宋体" w:hAnsi="宋体" w:eastAsia="宋体" w:cs="宋体"/>
                <w:sz w:val="21"/>
                <w:szCs w:val="21"/>
                <w:lang w:val="en-US" w:eastAsia="zh-CN"/>
              </w:rPr>
              <w:t>其他</w:t>
            </w:r>
            <w:r>
              <w:rPr>
                <w:rFonts w:hint="eastAsia" w:hAnsi="宋体" w:cs="宋体"/>
                <w:sz w:val="21"/>
                <w:szCs w:val="21"/>
                <w:lang w:val="en-US" w:eastAsia="zh-CN" w:bidi="ar-SA"/>
              </w:rPr>
              <w:t>：</w:t>
            </w:r>
          </w:p>
        </w:tc>
      </w:tr>
      <w:tr w14:paraId="46A757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28C53016">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10.1</w:t>
            </w:r>
          </w:p>
        </w:tc>
        <w:tc>
          <w:tcPr>
            <w:tcW w:w="2551" w:type="dxa"/>
            <w:tcBorders>
              <w:top w:val="single" w:color="auto" w:sz="4" w:space="0"/>
              <w:left w:val="single" w:color="auto" w:sz="4" w:space="0"/>
              <w:bottom w:val="single" w:color="auto" w:sz="4" w:space="0"/>
              <w:right w:val="single" w:color="auto" w:sz="4" w:space="0"/>
            </w:tcBorders>
            <w:vAlign w:val="center"/>
          </w:tcPr>
          <w:p w14:paraId="287C753D">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竞包文件的澄清、质询</w:t>
            </w:r>
          </w:p>
        </w:tc>
        <w:tc>
          <w:tcPr>
            <w:tcW w:w="5735" w:type="dxa"/>
            <w:tcBorders>
              <w:top w:val="single" w:color="auto" w:sz="4" w:space="0"/>
              <w:left w:val="single" w:color="auto" w:sz="4" w:space="0"/>
              <w:bottom w:val="single" w:color="auto" w:sz="4" w:space="0"/>
            </w:tcBorders>
            <w:vAlign w:val="center"/>
          </w:tcPr>
          <w:p w14:paraId="51F70F1F">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val="en-US"/>
              </w:rPr>
              <w:t>1.</w:t>
            </w:r>
            <w:r>
              <w:rPr>
                <w:rFonts w:hint="eastAsia" w:ascii="宋体" w:hAnsi="宋体" w:eastAsia="宋体" w:cs="宋体"/>
                <w:sz w:val="21"/>
                <w:szCs w:val="21"/>
              </w:rPr>
              <w:t>澄清回复时间不得超过在发出通知后</w:t>
            </w:r>
            <w:r>
              <w:rPr>
                <w:rFonts w:hint="eastAsia" w:ascii="宋体" w:hAnsi="宋体" w:eastAsia="宋体" w:cs="宋体"/>
                <w:sz w:val="21"/>
                <w:szCs w:val="21"/>
                <w:u w:val="none"/>
                <w:lang w:val="en-US"/>
              </w:rPr>
              <w:t>20</w:t>
            </w:r>
            <w:r>
              <w:rPr>
                <w:rFonts w:hint="eastAsia" w:ascii="宋体" w:hAnsi="宋体" w:eastAsia="宋体" w:cs="宋体"/>
                <w:sz w:val="21"/>
                <w:szCs w:val="21"/>
              </w:rPr>
              <w:t>分钟，竞包人逾期或未按要求澄清回复的，将视为不予回复或确认，评审委员会有权认为竞包人放弃本次澄清的权利。竞包人通讯不畅通，导致不能及时联系的，视作为竞包人不予回复或确认。</w:t>
            </w:r>
          </w:p>
          <w:p w14:paraId="7D59F3A8">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rPr>
              <w:t>.</w:t>
            </w:r>
            <w:r>
              <w:rPr>
                <w:rFonts w:hint="eastAsia" w:ascii="宋体" w:hAnsi="宋体" w:eastAsia="宋体" w:cs="宋体"/>
                <w:sz w:val="21"/>
                <w:szCs w:val="21"/>
              </w:rPr>
              <w:t>评审委员会对竞包人提交的澄清、说明或补正有疑问的，可以要求竞包人进一步澄清、说明或补正，直至满足评审委员会的要求。</w:t>
            </w:r>
          </w:p>
          <w:p w14:paraId="3E46F00F">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竞包人拒不按照要求对竞包文件进行澄清、说明或者补正的，评审委员会有权认为竞包人放弃本次澄清的权利。</w:t>
            </w:r>
          </w:p>
        </w:tc>
      </w:tr>
      <w:tr w14:paraId="69E84F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3864DA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10.2</w:t>
            </w:r>
          </w:p>
        </w:tc>
        <w:tc>
          <w:tcPr>
            <w:tcW w:w="2551" w:type="dxa"/>
            <w:tcBorders>
              <w:top w:val="single" w:color="auto" w:sz="4" w:space="0"/>
              <w:left w:val="single" w:color="auto" w:sz="4" w:space="0"/>
              <w:bottom w:val="single" w:color="auto" w:sz="4" w:space="0"/>
              <w:right w:val="single" w:color="auto" w:sz="4" w:space="0"/>
            </w:tcBorders>
            <w:vAlign w:val="center"/>
          </w:tcPr>
          <w:p w14:paraId="3D941575">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否决竞包的情形</w:t>
            </w:r>
          </w:p>
        </w:tc>
        <w:tc>
          <w:tcPr>
            <w:tcW w:w="5735" w:type="dxa"/>
            <w:tcBorders>
              <w:top w:val="single" w:color="auto" w:sz="4" w:space="0"/>
              <w:left w:val="single" w:color="auto" w:sz="4" w:space="0"/>
              <w:bottom w:val="single" w:color="auto" w:sz="4" w:space="0"/>
            </w:tcBorders>
            <w:vAlign w:val="center"/>
          </w:tcPr>
          <w:p w14:paraId="13393A1F">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竞包文件存在以下情形之一的，由评审委员会审核并经过询标程序，其竞包文件将被否决：</w:t>
            </w:r>
          </w:p>
          <w:p w14:paraId="729239EC">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（1）竞包人提交的资料不符合第二章“竞包人须知”第3.1.1项及3.1.2项规定的；</w:t>
            </w:r>
          </w:p>
          <w:p w14:paraId="356B2FC6">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val="0"/>
                <w:sz w:val="21"/>
                <w:szCs w:val="21"/>
              </w:rPr>
              <w:t>法定代表人身份证明或附有法定代表人身份证明的授权委托书不符合第</w:t>
            </w:r>
            <w:r>
              <w:rPr>
                <w:rFonts w:hint="eastAsia" w:cs="宋体"/>
                <w:bCs w:val="0"/>
                <w:sz w:val="21"/>
                <w:szCs w:val="21"/>
                <w:lang w:val="en-US" w:eastAsia="zh-CN"/>
              </w:rPr>
              <w:t>九</w:t>
            </w:r>
            <w:r>
              <w:rPr>
                <w:rFonts w:hint="eastAsia" w:ascii="宋体" w:hAnsi="宋体" w:eastAsia="宋体" w:cs="宋体"/>
                <w:bCs w:val="0"/>
                <w:sz w:val="21"/>
                <w:szCs w:val="21"/>
              </w:rPr>
              <w:t>章“竞包文件格式”要求；</w:t>
            </w:r>
          </w:p>
          <w:p w14:paraId="68D486CC">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（3）竞包人不满足第二章“竞包人须知”第1.4.1项规定的企业资质、安全生产许可证、业绩条件（如有）、人员资格及其他要求的；</w:t>
            </w:r>
          </w:p>
          <w:p w14:paraId="5233A34D">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Cs w:val="0"/>
                <w:sz w:val="21"/>
                <w:szCs w:val="21"/>
              </w:rPr>
              <w:t>竞包人存在第二章“竞包人须知”第1.4.4项</w:t>
            </w:r>
            <w:r>
              <w:rPr>
                <w:rFonts w:hint="eastAsia" w:cs="宋体"/>
                <w:bCs w:val="0"/>
                <w:sz w:val="21"/>
                <w:szCs w:val="21"/>
                <w:lang w:eastAsia="zh-CN"/>
              </w:rPr>
              <w:t>、</w:t>
            </w:r>
            <w:r>
              <w:rPr>
                <w:rFonts w:hint="eastAsia" w:ascii="宋体" w:hAnsi="宋体" w:eastAsia="宋体" w:cs="宋体"/>
                <w:bCs w:val="0"/>
                <w:sz w:val="21"/>
                <w:szCs w:val="21"/>
              </w:rPr>
              <w:t>第1.4.</w:t>
            </w:r>
            <w:r>
              <w:rPr>
                <w:rFonts w:hint="eastAsia" w:cs="宋体"/>
                <w:bCs w:val="0"/>
                <w:sz w:val="21"/>
                <w:szCs w:val="21"/>
                <w:lang w:val="en-US" w:eastAsia="zh-CN"/>
              </w:rPr>
              <w:t>5</w:t>
            </w:r>
            <w:r>
              <w:rPr>
                <w:rFonts w:hint="eastAsia" w:ascii="宋体" w:hAnsi="宋体" w:eastAsia="宋体" w:cs="宋体"/>
                <w:bCs w:val="0"/>
                <w:sz w:val="21"/>
                <w:szCs w:val="21"/>
              </w:rPr>
              <w:t>项规定的禁止</w:t>
            </w:r>
            <w:r>
              <w:rPr>
                <w:rFonts w:hint="eastAsia" w:cs="宋体"/>
                <w:bCs w:val="0"/>
                <w:sz w:val="21"/>
                <w:szCs w:val="21"/>
                <w:lang w:val="en-US" w:eastAsia="zh-CN"/>
              </w:rPr>
              <w:t>或否决</w:t>
            </w:r>
            <w:r>
              <w:rPr>
                <w:rFonts w:hint="eastAsia" w:ascii="宋体" w:hAnsi="宋体" w:eastAsia="宋体" w:cs="宋体"/>
                <w:bCs w:val="0"/>
                <w:sz w:val="21"/>
                <w:szCs w:val="21"/>
              </w:rPr>
              <w:t>竞包情形的；</w:t>
            </w:r>
          </w:p>
          <w:p w14:paraId="6AC2F0A4">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Cs w:val="0"/>
                <w:sz w:val="21"/>
                <w:szCs w:val="21"/>
              </w:rPr>
              <w:t>竞包人未按照第二章“竞包人须知”第3.3.1项规定提交竞包保证金的；</w:t>
            </w:r>
          </w:p>
          <w:p w14:paraId="1887FA65">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（6）竞包人存在无正当理由放弃</w:t>
            </w:r>
            <w:r>
              <w:rPr>
                <w:rFonts w:hint="eastAsia" w:cs="宋体"/>
                <w:sz w:val="21"/>
                <w:szCs w:val="21"/>
                <w:lang w:val="en-US" w:eastAsia="zh-CN"/>
              </w:rPr>
              <w:t>承包</w:t>
            </w:r>
            <w:r>
              <w:rPr>
                <w:rFonts w:hint="eastAsia" w:ascii="宋体" w:hAnsi="宋体" w:eastAsia="宋体" w:cs="宋体"/>
                <w:sz w:val="21"/>
                <w:szCs w:val="21"/>
              </w:rPr>
              <w:t>、不与发包人签订书面合同等情形或被行政部门查实存在违法行为，发包人重新发包的，发包人拒绝竞包人再次竞包该项目；</w:t>
            </w:r>
          </w:p>
          <w:p w14:paraId="34BFDF10">
            <w:pPr>
              <w:pStyle w:val="189"/>
              <w:keepNext w:val="0"/>
              <w:keepLines w:val="0"/>
              <w:pageBreakBefore w:val="0"/>
              <w:kinsoku/>
              <w:overflowPunct/>
              <w:autoSpaceDE/>
              <w:bidi w:val="0"/>
              <w:spacing w:line="280" w:lineRule="exact"/>
              <w:textAlignment w:val="auto"/>
              <w:rPr>
                <w:rFonts w:hint="eastAsia" w:ascii="宋体" w:hAnsi="宋体" w:eastAsia="宋体" w:cs="宋体"/>
                <w:bCs w:val="0"/>
                <w:sz w:val="21"/>
                <w:szCs w:val="21"/>
              </w:rPr>
            </w:pPr>
            <w:r>
              <w:rPr>
                <w:rFonts w:hint="eastAsia" w:ascii="宋体" w:hAnsi="宋体" w:eastAsia="宋体" w:cs="宋体"/>
                <w:sz w:val="21"/>
                <w:szCs w:val="21"/>
              </w:rPr>
              <w:t>（7）</w:t>
            </w:r>
            <w:r>
              <w:rPr>
                <w:rFonts w:hint="eastAsia" w:ascii="宋体" w:hAnsi="宋体" w:eastAsia="宋体" w:cs="宋体"/>
                <w:bCs w:val="0"/>
                <w:sz w:val="21"/>
                <w:szCs w:val="21"/>
              </w:rPr>
              <w:t>竞包文件签字盖章不符合第二章“竞包人须知”第3.6.3（1）款规定的；</w:t>
            </w:r>
          </w:p>
          <w:p w14:paraId="762BDD89">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bCs w:val="0"/>
                <w:sz w:val="21"/>
                <w:szCs w:val="21"/>
              </w:rPr>
              <w:t>（8）</w:t>
            </w:r>
            <w:r>
              <w:rPr>
                <w:rFonts w:hint="eastAsia" w:ascii="宋体" w:hAnsi="宋体" w:eastAsia="宋体" w:cs="宋体"/>
                <w:sz w:val="21"/>
                <w:szCs w:val="21"/>
              </w:rPr>
              <w:t>竞包文件中竞包函或竞包函附录或竞包承诺书未按要求填写；</w:t>
            </w:r>
          </w:p>
          <w:p w14:paraId="37F043A7">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（9）竞包文件不能满足发包文件载明的工程质量、工程验收标准、施工工期、保修期要求的；</w:t>
            </w:r>
          </w:p>
          <w:p w14:paraId="7EC78F32">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bCs w:val="0"/>
                <w:sz w:val="21"/>
                <w:szCs w:val="21"/>
              </w:rPr>
              <w:t>竞包有效期未响应第二章“竞包人须知”第3.2项规定的</w:t>
            </w:r>
            <w:r>
              <w:rPr>
                <w:rFonts w:hint="eastAsia" w:ascii="宋体" w:hAnsi="宋体" w:eastAsia="宋体" w:cs="宋体"/>
                <w:sz w:val="21"/>
                <w:szCs w:val="21"/>
              </w:rPr>
              <w:t>；</w:t>
            </w:r>
          </w:p>
          <w:p w14:paraId="566EAAE5">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11）不同竞包人电子竞包文件发现计算机网卡MAC地址、数据储存设备序列号、CPU序列号、主板序列号、竞包工具标识号和文件制作联网ip地址六项中的任意三项相同或文件创建标识码相同；或不同竞包人委托同一单位或者个人办理竞包事宜；或不同竞包人的竞包文件载明的项目管理成员为同一人；或不同竞包人的竞包文件异常一致或者竞包报价呈规律性差异（竞包文件雷同）；或不同竞包人的竞包文件相互混装；或不同竞包人的竞包保证金从同一单位或者个人的账户转出；</w:t>
            </w:r>
          </w:p>
          <w:p w14:paraId="7758B4FF">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bCs w:val="0"/>
                <w:sz w:val="21"/>
                <w:szCs w:val="21"/>
              </w:rPr>
              <w:t>（</w:t>
            </w:r>
            <w:r>
              <w:rPr>
                <w:rFonts w:hint="eastAsia" w:ascii="宋体" w:hAnsi="宋体" w:eastAsia="宋体" w:cs="宋体"/>
                <w:sz w:val="21"/>
                <w:szCs w:val="21"/>
              </w:rPr>
              <w:t>12）权利义务</w:t>
            </w:r>
            <w:r>
              <w:rPr>
                <w:rFonts w:hint="eastAsia" w:cs="宋体"/>
                <w:sz w:val="21"/>
                <w:szCs w:val="21"/>
                <w:lang w:val="en-US" w:eastAsia="zh-CN"/>
              </w:rPr>
              <w:t>未响应发包文件</w:t>
            </w:r>
            <w:r>
              <w:rPr>
                <w:rFonts w:hint="eastAsia" w:ascii="宋体" w:hAnsi="宋体" w:eastAsia="宋体" w:cs="宋体"/>
                <w:sz w:val="21"/>
                <w:szCs w:val="21"/>
              </w:rPr>
              <w:t>规定：</w:t>
            </w:r>
          </w:p>
          <w:p w14:paraId="2C871A54">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cs="宋体"/>
                <w:sz w:val="21"/>
                <w:szCs w:val="21"/>
                <w:lang w:eastAsia="zh-CN"/>
              </w:rPr>
              <w:t>竞包人</w:t>
            </w:r>
            <w:r>
              <w:rPr>
                <w:rFonts w:hint="eastAsia" w:cs="宋体"/>
                <w:sz w:val="21"/>
                <w:szCs w:val="21"/>
                <w:lang w:val="en-US" w:eastAsia="zh-CN"/>
              </w:rPr>
              <w:t>未</w:t>
            </w:r>
            <w:r>
              <w:rPr>
                <w:rFonts w:hint="eastAsia" w:ascii="宋体" w:hAnsi="宋体" w:eastAsia="宋体" w:cs="宋体"/>
                <w:sz w:val="21"/>
                <w:szCs w:val="21"/>
              </w:rPr>
              <w:t>接受</w:t>
            </w:r>
            <w:r>
              <w:rPr>
                <w:rFonts w:hint="eastAsia" w:cs="宋体"/>
                <w:sz w:val="21"/>
                <w:szCs w:val="21"/>
                <w:lang w:val="en-US" w:eastAsia="zh-CN"/>
              </w:rPr>
              <w:t>发包文件</w:t>
            </w:r>
            <w:r>
              <w:rPr>
                <w:rFonts w:hint="eastAsia" w:ascii="宋体" w:hAnsi="宋体" w:eastAsia="宋体" w:cs="宋体"/>
                <w:sz w:val="21"/>
                <w:szCs w:val="21"/>
              </w:rPr>
              <w:t>规定的风险划分原则，提出新的风险划分办法；</w:t>
            </w:r>
          </w:p>
          <w:p w14:paraId="6F9C404D">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cs="宋体"/>
                <w:sz w:val="21"/>
                <w:szCs w:val="21"/>
                <w:lang w:eastAsia="zh-CN"/>
              </w:rPr>
              <w:t>竞包人</w:t>
            </w:r>
            <w:r>
              <w:rPr>
                <w:rFonts w:hint="eastAsia" w:ascii="宋体" w:hAnsi="宋体" w:eastAsia="宋体" w:cs="宋体"/>
                <w:sz w:val="21"/>
                <w:szCs w:val="21"/>
              </w:rPr>
              <w:t>增加发包人的责任范围，或减少</w:t>
            </w:r>
            <w:r>
              <w:rPr>
                <w:rFonts w:hint="eastAsia" w:cs="宋体"/>
                <w:sz w:val="21"/>
                <w:szCs w:val="21"/>
                <w:lang w:eastAsia="zh-CN"/>
              </w:rPr>
              <w:t>竞包人</w:t>
            </w:r>
            <w:r>
              <w:rPr>
                <w:rFonts w:hint="eastAsia" w:ascii="宋体" w:hAnsi="宋体" w:eastAsia="宋体" w:cs="宋体"/>
                <w:sz w:val="21"/>
                <w:szCs w:val="21"/>
              </w:rPr>
              <w:t>义务；</w:t>
            </w:r>
          </w:p>
          <w:p w14:paraId="7B969FC0">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cs="宋体"/>
                <w:sz w:val="21"/>
                <w:szCs w:val="21"/>
                <w:lang w:eastAsia="zh-CN"/>
              </w:rPr>
              <w:t>竞包人</w:t>
            </w:r>
            <w:r>
              <w:rPr>
                <w:rFonts w:hint="eastAsia" w:ascii="宋体" w:hAnsi="宋体" w:eastAsia="宋体" w:cs="宋体"/>
                <w:sz w:val="21"/>
                <w:szCs w:val="21"/>
              </w:rPr>
              <w:t>提出不同的工程验收、计量、支付办法；</w:t>
            </w:r>
          </w:p>
          <w:p w14:paraId="69054F5F">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cs="宋体"/>
                <w:sz w:val="21"/>
                <w:szCs w:val="21"/>
                <w:lang w:eastAsia="zh-CN"/>
              </w:rPr>
              <w:t>竞包人</w:t>
            </w:r>
            <w:r>
              <w:rPr>
                <w:rFonts w:hint="eastAsia" w:ascii="宋体" w:hAnsi="宋体" w:eastAsia="宋体" w:cs="宋体"/>
                <w:sz w:val="21"/>
                <w:szCs w:val="21"/>
              </w:rPr>
              <w:t>对合同纠纷、事故处理办法提出异议；</w:t>
            </w:r>
          </w:p>
          <w:p w14:paraId="0F938DFC">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e．</w:t>
            </w:r>
            <w:r>
              <w:rPr>
                <w:rFonts w:hint="eastAsia" w:cs="宋体"/>
                <w:sz w:val="21"/>
                <w:szCs w:val="21"/>
                <w:lang w:eastAsia="zh-CN"/>
              </w:rPr>
              <w:t>竞包人</w:t>
            </w:r>
            <w:r>
              <w:rPr>
                <w:rFonts w:hint="eastAsia" w:ascii="宋体" w:hAnsi="宋体" w:eastAsia="宋体" w:cs="宋体"/>
                <w:sz w:val="21"/>
                <w:szCs w:val="21"/>
              </w:rPr>
              <w:t>在</w:t>
            </w:r>
            <w:r>
              <w:rPr>
                <w:rFonts w:hint="eastAsia" w:cs="宋体"/>
                <w:sz w:val="21"/>
                <w:szCs w:val="21"/>
                <w:lang w:eastAsia="zh-CN"/>
              </w:rPr>
              <w:t>竞包</w:t>
            </w:r>
            <w:r>
              <w:rPr>
                <w:rFonts w:hint="eastAsia" w:ascii="宋体" w:hAnsi="宋体" w:eastAsia="宋体" w:cs="宋体"/>
                <w:sz w:val="21"/>
                <w:szCs w:val="21"/>
              </w:rPr>
              <w:t>活动中</w:t>
            </w:r>
            <w:r>
              <w:rPr>
                <w:rFonts w:hint="eastAsia" w:cs="宋体"/>
                <w:sz w:val="21"/>
                <w:szCs w:val="21"/>
                <w:lang w:val="en-US" w:eastAsia="zh-CN"/>
              </w:rPr>
              <w:t>有</w:t>
            </w:r>
            <w:r>
              <w:rPr>
                <w:rFonts w:hint="eastAsia" w:ascii="宋体" w:hAnsi="宋体" w:eastAsia="宋体" w:cs="宋体"/>
                <w:sz w:val="21"/>
                <w:szCs w:val="21"/>
              </w:rPr>
              <w:t>欺诈行为；</w:t>
            </w:r>
          </w:p>
          <w:p w14:paraId="7132BADC">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f．</w:t>
            </w:r>
            <w:r>
              <w:rPr>
                <w:rFonts w:hint="eastAsia" w:cs="宋体"/>
                <w:sz w:val="21"/>
                <w:szCs w:val="21"/>
                <w:lang w:eastAsia="zh-CN"/>
              </w:rPr>
              <w:t>竞包人</w:t>
            </w:r>
            <w:r>
              <w:rPr>
                <w:rFonts w:hint="eastAsia" w:ascii="宋体" w:hAnsi="宋体" w:eastAsia="宋体" w:cs="宋体"/>
                <w:sz w:val="21"/>
                <w:szCs w:val="21"/>
              </w:rPr>
              <w:t>对合同条款有重要保留。</w:t>
            </w:r>
          </w:p>
          <w:p w14:paraId="73CE5848">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（13）竞包人未按竞包人须知1.12项和3.6项规定执行的；</w:t>
            </w:r>
          </w:p>
          <w:p w14:paraId="044C342C">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u w:val="none"/>
              </w:rPr>
            </w:pPr>
            <w:r>
              <w:rPr>
                <w:rFonts w:hint="eastAsia" w:ascii="宋体" w:hAnsi="宋体" w:eastAsia="宋体" w:cs="宋体"/>
                <w:sz w:val="21"/>
                <w:szCs w:val="21"/>
              </w:rPr>
              <w:t>（14）存在法律、法规、规章规定的其它否决竞包情况的；</w:t>
            </w:r>
          </w:p>
          <w:p w14:paraId="1336A5D1">
            <w:pPr>
              <w:pStyle w:val="189"/>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注：凡评审委员会拟作出否决竞包决定的，应先向竞包人进行询标。</w:t>
            </w:r>
          </w:p>
        </w:tc>
      </w:tr>
      <w:tr w14:paraId="3E1E9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993" w:type="dxa"/>
            <w:tcBorders>
              <w:top w:val="single" w:color="auto" w:sz="4" w:space="0"/>
              <w:bottom w:val="single" w:color="auto" w:sz="4" w:space="0"/>
              <w:right w:val="single" w:color="auto" w:sz="4" w:space="0"/>
            </w:tcBorders>
            <w:vAlign w:val="center"/>
          </w:tcPr>
          <w:p w14:paraId="306746F2">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10.3</w:t>
            </w:r>
          </w:p>
        </w:tc>
        <w:tc>
          <w:tcPr>
            <w:tcW w:w="2551" w:type="dxa"/>
            <w:tcBorders>
              <w:top w:val="single" w:color="auto" w:sz="4" w:space="0"/>
              <w:left w:val="single" w:color="auto" w:sz="4" w:space="0"/>
              <w:bottom w:val="single" w:color="auto" w:sz="4" w:space="0"/>
              <w:right w:val="single" w:color="auto" w:sz="4" w:space="0"/>
            </w:tcBorders>
            <w:vAlign w:val="center"/>
          </w:tcPr>
          <w:p w14:paraId="3E5A7BDC">
            <w:pPr>
              <w:pStyle w:val="189"/>
              <w:keepNext w:val="0"/>
              <w:keepLines w:val="0"/>
              <w:pageBreakBefore w:val="0"/>
              <w:kinsoku/>
              <w:wordWrap w:val="0"/>
              <w:overflowPunct/>
              <w:topLine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特别说明</w:t>
            </w:r>
          </w:p>
        </w:tc>
        <w:tc>
          <w:tcPr>
            <w:tcW w:w="5735" w:type="dxa"/>
            <w:tcBorders>
              <w:top w:val="single" w:color="auto" w:sz="4" w:space="0"/>
              <w:left w:val="single" w:color="auto" w:sz="4" w:space="0"/>
              <w:bottom w:val="single" w:color="auto" w:sz="4" w:space="0"/>
            </w:tcBorders>
            <w:vAlign w:val="center"/>
          </w:tcPr>
          <w:p w14:paraId="0A7D3F6A">
            <w:pPr>
              <w:keepNext w:val="0"/>
              <w:keepLines w:val="0"/>
              <w:pageBreakBefore w:val="0"/>
              <w:tabs>
                <w:tab w:val="left" w:pos="9360"/>
              </w:tabs>
              <w:kinsoku/>
              <w:wordWrap w:val="0"/>
              <w:overflowPunct/>
              <w:topLinePunct/>
              <w:autoSpaceDE/>
              <w:bidi w:val="0"/>
              <w:spacing w:line="280" w:lineRule="exact"/>
              <w:textAlignment w:val="auto"/>
              <w:rPr>
                <w:rFonts w:hint="eastAsia" w:ascii="宋体" w:hAnsi="宋体" w:eastAsia="宋体" w:cs="宋体"/>
                <w:iCs/>
                <w:sz w:val="21"/>
                <w:szCs w:val="21"/>
              </w:rPr>
            </w:pPr>
            <w:r>
              <w:rPr>
                <w:rFonts w:hint="eastAsia" w:ascii="宋体" w:hAnsi="宋体" w:eastAsia="宋体" w:cs="宋体"/>
                <w:iCs/>
                <w:sz w:val="21"/>
                <w:szCs w:val="21"/>
              </w:rPr>
              <w:t>1.本前附表是竞包人须知正文内容的补充和细化，如本前附表与正文内容表述不一，以本前附表为准。</w:t>
            </w:r>
          </w:p>
          <w:p w14:paraId="77FEEAFB">
            <w:pPr>
              <w:keepNext w:val="0"/>
              <w:keepLines w:val="0"/>
              <w:pageBreakBefore w:val="0"/>
              <w:tabs>
                <w:tab w:val="left" w:pos="9360"/>
              </w:tabs>
              <w:kinsoku/>
              <w:overflowPunct/>
              <w:autoSpaceDE/>
              <w:bidi w:val="0"/>
              <w:spacing w:line="280" w:lineRule="exact"/>
              <w:textAlignment w:val="auto"/>
              <w:rPr>
                <w:rFonts w:hint="eastAsia" w:ascii="宋体" w:hAnsi="宋体" w:eastAsia="宋体" w:cs="宋体"/>
                <w:iCs/>
                <w:sz w:val="21"/>
                <w:szCs w:val="21"/>
              </w:rPr>
            </w:pPr>
            <w:r>
              <w:rPr>
                <w:rFonts w:hint="eastAsia" w:ascii="宋体" w:hAnsi="宋体" w:eastAsia="宋体" w:cs="宋体"/>
                <w:iCs/>
                <w:sz w:val="21"/>
                <w:szCs w:val="21"/>
              </w:rPr>
              <w:t>2.本发包文件项目负责人一般情况下是指项目经理。</w:t>
            </w:r>
          </w:p>
          <w:p w14:paraId="7072F61F">
            <w:pPr>
              <w:keepNext w:val="0"/>
              <w:keepLines w:val="0"/>
              <w:pageBreakBefore w:val="0"/>
              <w:tabs>
                <w:tab w:val="left" w:pos="9360"/>
              </w:tabs>
              <w:kinsoku/>
              <w:overflowPunct/>
              <w:autoSpaceDE/>
              <w:bidi w:val="0"/>
              <w:spacing w:line="280" w:lineRule="exact"/>
              <w:textAlignment w:val="auto"/>
              <w:rPr>
                <w:rFonts w:hint="eastAsia" w:ascii="宋体" w:hAnsi="宋体" w:eastAsia="宋体" w:cs="宋体"/>
                <w:iCs/>
                <w:sz w:val="21"/>
                <w:szCs w:val="21"/>
              </w:rPr>
            </w:pPr>
            <w:r>
              <w:rPr>
                <w:rFonts w:hint="eastAsia" w:ascii="宋体" w:hAnsi="宋体" w:eastAsia="宋体" w:cs="宋体"/>
                <w:iCs/>
                <w:sz w:val="21"/>
                <w:szCs w:val="21"/>
                <w:lang w:val="en-US" w:eastAsia="zh-CN"/>
              </w:rPr>
              <w:t>3</w:t>
            </w:r>
            <w:r>
              <w:rPr>
                <w:rFonts w:hint="eastAsia" w:ascii="宋体" w:hAnsi="宋体" w:eastAsia="宋体" w:cs="宋体"/>
                <w:iCs/>
                <w:sz w:val="21"/>
                <w:szCs w:val="21"/>
              </w:rPr>
              <w:t>.竞包人须按电子竞包制作要求在规定区域上传相应文件，如资格审查资料不上传至规定区域，导致评审委员会无法正常查看资格审查资料，由此造成的后果由竞包人自行承担。</w:t>
            </w:r>
          </w:p>
          <w:p w14:paraId="3C6246A6">
            <w:pPr>
              <w:keepNext w:val="0"/>
              <w:keepLines w:val="0"/>
              <w:pageBreakBefore w:val="0"/>
              <w:tabs>
                <w:tab w:val="left" w:pos="9360"/>
              </w:tabs>
              <w:kinsoku/>
              <w:wordWrap w:val="0"/>
              <w:overflowPunct/>
              <w:topLinePunct/>
              <w:autoSpaceDE/>
              <w:bidi w:val="0"/>
              <w:spacing w:line="280" w:lineRule="exact"/>
              <w:textAlignment w:val="auto"/>
              <w:rPr>
                <w:rFonts w:hint="eastAsia" w:ascii="宋体" w:hAnsi="宋体" w:eastAsia="宋体" w:cs="宋体"/>
                <w:iCs/>
                <w:sz w:val="21"/>
                <w:szCs w:val="21"/>
                <w:lang w:val="en-US" w:eastAsia="zh-CN" w:bidi="ar-SA"/>
              </w:rPr>
            </w:pPr>
            <w:r>
              <w:rPr>
                <w:rFonts w:hint="eastAsia" w:ascii="宋体" w:hAnsi="宋体" w:eastAsia="宋体" w:cs="宋体"/>
                <w:iCs/>
                <w:sz w:val="21"/>
                <w:szCs w:val="21"/>
                <w:lang w:val="en-US" w:eastAsia="zh-CN" w:bidi="ar-SA"/>
              </w:rPr>
              <w:t>4.竞包人或者其他利害关系人认为交易活动不符合有关规定，应按下列规定向发包人提出异议：</w:t>
            </w:r>
          </w:p>
          <w:p w14:paraId="2CA7C4A3">
            <w:pPr>
              <w:keepNext w:val="0"/>
              <w:keepLines w:val="0"/>
              <w:pageBreakBefore w:val="0"/>
              <w:widowControl w:val="0"/>
              <w:tabs>
                <w:tab w:val="left" w:pos="9360"/>
              </w:tabs>
              <w:kinsoku/>
              <w:wordWrap w:val="0"/>
              <w:overflowPunct/>
              <w:topLinePunct/>
              <w:autoSpaceDE/>
              <w:autoSpaceDN/>
              <w:bidi w:val="0"/>
              <w:adjustRightInd/>
              <w:snapToGrid/>
              <w:spacing w:line="280" w:lineRule="exact"/>
              <w:ind w:firstLine="420" w:firstLineChars="200"/>
              <w:textAlignment w:val="auto"/>
              <w:rPr>
                <w:rFonts w:hint="eastAsia" w:ascii="宋体" w:hAnsi="宋体" w:eastAsia="宋体" w:cs="宋体"/>
                <w:iCs/>
                <w:sz w:val="21"/>
                <w:szCs w:val="21"/>
                <w:lang w:val="en-US" w:eastAsia="zh-CN" w:bidi="ar-SA"/>
              </w:rPr>
            </w:pPr>
            <w:r>
              <w:rPr>
                <w:rFonts w:hint="eastAsia" w:ascii="宋体" w:hAnsi="宋体" w:eastAsia="宋体" w:cs="宋体"/>
                <w:iCs/>
                <w:sz w:val="21"/>
                <w:szCs w:val="21"/>
                <w:lang w:val="en-US" w:eastAsia="zh-CN" w:bidi="ar-SA"/>
              </w:rPr>
              <w:t>（</w:t>
            </w:r>
            <w:r>
              <w:rPr>
                <w:rFonts w:hint="eastAsia" w:ascii="宋体" w:hAnsi="宋体" w:cs="宋体"/>
                <w:iCs/>
                <w:sz w:val="21"/>
                <w:szCs w:val="21"/>
                <w:lang w:val="en-US" w:eastAsia="zh-CN" w:bidi="ar-SA"/>
              </w:rPr>
              <w:t>1</w:t>
            </w:r>
            <w:r>
              <w:rPr>
                <w:rFonts w:hint="eastAsia" w:ascii="宋体" w:hAnsi="宋体" w:eastAsia="宋体" w:cs="宋体"/>
                <w:iCs/>
                <w:sz w:val="21"/>
                <w:szCs w:val="21"/>
                <w:lang w:val="en-US" w:eastAsia="zh-CN" w:bidi="ar-SA"/>
              </w:rPr>
              <w:t>）潜在竞包人或者其他利害关系人对发包文件有异议的，应当在竞包截止时间1日前通过泰顺县</w:t>
            </w:r>
            <w:r>
              <w:rPr>
                <w:rFonts w:hint="eastAsia" w:ascii="宋体" w:hAnsi="宋体" w:cs="宋体"/>
                <w:iCs/>
                <w:sz w:val="21"/>
                <w:szCs w:val="21"/>
                <w:lang w:val="en-US" w:eastAsia="zh-CN" w:bidi="ar-SA"/>
              </w:rPr>
              <w:t>小额工程阳光交易系统</w:t>
            </w:r>
            <w:r>
              <w:rPr>
                <w:rFonts w:hint="eastAsia" w:ascii="宋体" w:hAnsi="宋体" w:eastAsia="宋体" w:cs="宋体"/>
                <w:iCs/>
                <w:sz w:val="21"/>
                <w:szCs w:val="21"/>
                <w:lang w:val="en-US" w:eastAsia="zh-CN" w:bidi="ar-SA"/>
              </w:rPr>
              <w:t>向发包人提出。</w:t>
            </w:r>
          </w:p>
          <w:p w14:paraId="60F32CDB">
            <w:pPr>
              <w:keepNext w:val="0"/>
              <w:keepLines w:val="0"/>
              <w:pageBreakBefore w:val="0"/>
              <w:widowControl w:val="0"/>
              <w:tabs>
                <w:tab w:val="left" w:pos="9360"/>
              </w:tabs>
              <w:kinsoku/>
              <w:wordWrap w:val="0"/>
              <w:overflowPunct/>
              <w:topLinePunct/>
              <w:autoSpaceDE/>
              <w:autoSpaceDN/>
              <w:bidi w:val="0"/>
              <w:adjustRightInd/>
              <w:snapToGrid/>
              <w:spacing w:line="280" w:lineRule="exact"/>
              <w:ind w:firstLine="420" w:firstLineChars="200"/>
              <w:textAlignment w:val="auto"/>
              <w:rPr>
                <w:rFonts w:hint="eastAsia" w:ascii="宋体" w:hAnsi="宋体" w:eastAsia="宋体" w:cs="宋体"/>
                <w:iCs/>
                <w:sz w:val="21"/>
                <w:szCs w:val="21"/>
                <w:lang w:val="en-US" w:eastAsia="zh-CN" w:bidi="ar-SA"/>
              </w:rPr>
            </w:pPr>
            <w:r>
              <w:rPr>
                <w:rFonts w:hint="eastAsia" w:ascii="宋体" w:hAnsi="宋体" w:eastAsia="宋体" w:cs="宋体"/>
                <w:iCs/>
                <w:sz w:val="21"/>
                <w:szCs w:val="21"/>
                <w:lang w:val="en-US" w:eastAsia="zh-CN" w:bidi="ar-SA"/>
              </w:rPr>
              <w:t>（</w:t>
            </w:r>
            <w:r>
              <w:rPr>
                <w:rFonts w:hint="eastAsia" w:ascii="宋体" w:hAnsi="宋体" w:cs="宋体"/>
                <w:iCs/>
                <w:sz w:val="21"/>
                <w:szCs w:val="21"/>
                <w:lang w:val="en-US" w:eastAsia="zh-CN" w:bidi="ar-SA"/>
              </w:rPr>
              <w:t>2</w:t>
            </w:r>
            <w:r>
              <w:rPr>
                <w:rFonts w:hint="eastAsia" w:ascii="宋体" w:hAnsi="宋体" w:eastAsia="宋体" w:cs="宋体"/>
                <w:iCs/>
                <w:sz w:val="21"/>
                <w:szCs w:val="21"/>
                <w:lang w:val="en-US" w:eastAsia="zh-CN" w:bidi="ar-SA"/>
              </w:rPr>
              <w:t>）竞包人认为交易</w:t>
            </w:r>
            <w:r>
              <w:rPr>
                <w:rFonts w:hint="eastAsia" w:ascii="宋体" w:hAnsi="宋体" w:cs="宋体"/>
                <w:iCs/>
                <w:sz w:val="21"/>
                <w:szCs w:val="21"/>
                <w:lang w:val="en-US" w:eastAsia="zh-CN" w:bidi="ar-SA"/>
              </w:rPr>
              <w:t>会</w:t>
            </w:r>
            <w:r>
              <w:rPr>
                <w:rFonts w:hint="eastAsia" w:ascii="宋体" w:hAnsi="宋体" w:eastAsia="宋体" w:cs="宋体"/>
                <w:iCs/>
                <w:sz w:val="21"/>
                <w:szCs w:val="21"/>
                <w:lang w:val="en-US" w:eastAsia="zh-CN" w:bidi="ar-SA"/>
              </w:rPr>
              <w:t>不符合有关规定的，应通过泰顺县</w:t>
            </w:r>
            <w:r>
              <w:rPr>
                <w:rFonts w:hint="eastAsia" w:ascii="宋体" w:hAnsi="宋体" w:cs="宋体"/>
                <w:iCs/>
                <w:sz w:val="21"/>
                <w:szCs w:val="21"/>
                <w:lang w:val="en-US" w:eastAsia="zh-CN" w:bidi="ar-SA"/>
              </w:rPr>
              <w:t>小额工程阳光交易系统</w:t>
            </w:r>
            <w:r>
              <w:rPr>
                <w:rFonts w:hint="eastAsia" w:ascii="宋体" w:hAnsi="宋体" w:eastAsia="宋体" w:cs="宋体"/>
                <w:iCs/>
                <w:sz w:val="21"/>
                <w:szCs w:val="21"/>
                <w:lang w:val="en-US" w:eastAsia="zh-CN" w:bidi="ar-SA"/>
              </w:rPr>
              <w:t>向发包人提出异议。发包人将当场对异议给予处理或者告知处理的办法。</w:t>
            </w:r>
          </w:p>
          <w:p w14:paraId="512D4269">
            <w:pPr>
              <w:keepNext w:val="0"/>
              <w:keepLines w:val="0"/>
              <w:pageBreakBefore w:val="0"/>
              <w:widowControl w:val="0"/>
              <w:tabs>
                <w:tab w:val="left" w:pos="9360"/>
              </w:tabs>
              <w:kinsoku/>
              <w:wordWrap w:val="0"/>
              <w:overflowPunct/>
              <w:topLinePunct/>
              <w:autoSpaceDE/>
              <w:autoSpaceDN/>
              <w:bidi w:val="0"/>
              <w:adjustRightInd/>
              <w:snapToGrid/>
              <w:spacing w:line="280" w:lineRule="exact"/>
              <w:ind w:firstLine="420" w:firstLineChars="200"/>
              <w:textAlignment w:val="auto"/>
              <w:rPr>
                <w:rFonts w:hint="eastAsia" w:ascii="宋体" w:hAnsi="宋体" w:eastAsia="宋体" w:cs="宋体"/>
                <w:iCs/>
                <w:sz w:val="21"/>
                <w:szCs w:val="21"/>
                <w:lang w:val="en-US" w:eastAsia="zh-CN" w:bidi="ar-SA"/>
              </w:rPr>
            </w:pPr>
            <w:r>
              <w:rPr>
                <w:rFonts w:hint="eastAsia" w:ascii="宋体" w:hAnsi="宋体" w:eastAsia="宋体" w:cs="宋体"/>
                <w:iCs/>
                <w:sz w:val="21"/>
                <w:szCs w:val="21"/>
                <w:lang w:val="en-US" w:eastAsia="zh-CN" w:bidi="ar-SA"/>
              </w:rPr>
              <w:t>（</w:t>
            </w:r>
            <w:r>
              <w:rPr>
                <w:rFonts w:hint="eastAsia" w:ascii="宋体" w:hAnsi="宋体" w:cs="宋体"/>
                <w:iCs/>
                <w:sz w:val="21"/>
                <w:szCs w:val="21"/>
                <w:lang w:val="en-US" w:eastAsia="zh-CN" w:bidi="ar-SA"/>
              </w:rPr>
              <w:t>3</w:t>
            </w:r>
            <w:r>
              <w:rPr>
                <w:rFonts w:hint="eastAsia" w:ascii="宋体" w:hAnsi="宋体" w:eastAsia="宋体" w:cs="宋体"/>
                <w:iCs/>
                <w:sz w:val="21"/>
                <w:szCs w:val="21"/>
                <w:lang w:val="en-US" w:eastAsia="zh-CN" w:bidi="ar-SA"/>
              </w:rPr>
              <w:t>）竞包人及其他利害关系人对评审结果有异议的，应当在承包公示期内通过泰顺县</w:t>
            </w:r>
            <w:r>
              <w:rPr>
                <w:rFonts w:hint="eastAsia" w:ascii="宋体" w:hAnsi="宋体" w:cs="宋体"/>
                <w:iCs/>
                <w:sz w:val="21"/>
                <w:szCs w:val="21"/>
                <w:lang w:val="en-US" w:eastAsia="zh-CN" w:bidi="ar-SA"/>
              </w:rPr>
              <w:t>小额工程阳光交易系统</w:t>
            </w:r>
            <w:r>
              <w:rPr>
                <w:rFonts w:hint="eastAsia" w:ascii="宋体" w:hAnsi="宋体" w:eastAsia="宋体" w:cs="宋体"/>
                <w:iCs/>
                <w:sz w:val="21"/>
                <w:szCs w:val="21"/>
                <w:lang w:val="en-US" w:eastAsia="zh-CN" w:bidi="ar-SA"/>
              </w:rPr>
              <w:t xml:space="preserve">向发包人提出。 </w:t>
            </w:r>
          </w:p>
          <w:p w14:paraId="7764C8B1">
            <w:pPr>
              <w:keepNext w:val="0"/>
              <w:keepLines w:val="0"/>
              <w:pageBreakBefore w:val="0"/>
              <w:tabs>
                <w:tab w:val="left" w:pos="9360"/>
              </w:tabs>
              <w:kinsoku/>
              <w:wordWrap w:val="0"/>
              <w:overflowPunct/>
              <w:topLinePunct/>
              <w:autoSpaceDE/>
              <w:bidi w:val="0"/>
              <w:spacing w:line="280" w:lineRule="exact"/>
              <w:textAlignment w:val="auto"/>
              <w:rPr>
                <w:rFonts w:hint="eastAsia" w:ascii="宋体" w:hAnsi="宋体" w:eastAsia="宋体" w:cs="宋体"/>
                <w:iCs/>
                <w:sz w:val="21"/>
                <w:szCs w:val="21"/>
                <w:lang w:val="en-US" w:eastAsia="zh-CN" w:bidi="ar-SA"/>
              </w:rPr>
            </w:pPr>
            <w:r>
              <w:rPr>
                <w:rFonts w:hint="eastAsia" w:ascii="宋体" w:hAnsi="宋体" w:cs="宋体"/>
                <w:iCs/>
                <w:sz w:val="21"/>
                <w:szCs w:val="21"/>
                <w:lang w:val="en-US" w:eastAsia="zh-CN" w:bidi="ar-SA"/>
              </w:rPr>
              <w:t>5</w:t>
            </w:r>
            <w:r>
              <w:rPr>
                <w:rFonts w:hint="eastAsia" w:ascii="宋体" w:hAnsi="宋体" w:eastAsia="宋体" w:cs="宋体"/>
                <w:iCs/>
                <w:sz w:val="21"/>
                <w:szCs w:val="21"/>
                <w:lang w:val="en-US" w:eastAsia="zh-CN" w:bidi="ar-SA"/>
              </w:rPr>
              <w:t xml:space="preserve">.本次发包活动若存在串通报价、串通竞包行为，参照《中华人民共和国招标投标法实施条例》相关情形认定。认定存在串通行为的，作参选无效、成交无效处理，参选保证金不予退还；已签订合同的，发包人有权单方解除合同。违规方按项目总金额8%支付违约金，不足以弥补实际损失的另行全额赔偿。 </w:t>
            </w:r>
          </w:p>
          <w:p w14:paraId="26345747">
            <w:pPr>
              <w:keepNext w:val="0"/>
              <w:keepLines w:val="0"/>
              <w:pageBreakBefore w:val="0"/>
              <w:tabs>
                <w:tab w:val="left" w:pos="9360"/>
              </w:tabs>
              <w:kinsoku/>
              <w:wordWrap w:val="0"/>
              <w:overflowPunct/>
              <w:topLinePunct/>
              <w:autoSpaceDE/>
              <w:bidi w:val="0"/>
              <w:spacing w:line="280" w:lineRule="exact"/>
              <w:textAlignment w:val="auto"/>
              <w:rPr>
                <w:rFonts w:hint="eastAsia" w:ascii="宋体" w:hAnsi="宋体" w:eastAsia="宋体" w:cs="宋体"/>
                <w:sz w:val="21"/>
                <w:szCs w:val="21"/>
              </w:rPr>
            </w:pPr>
            <w:r>
              <w:rPr>
                <w:rFonts w:hint="eastAsia" w:ascii="宋体" w:hAnsi="宋体" w:cs="宋体"/>
                <w:iCs/>
                <w:sz w:val="21"/>
                <w:szCs w:val="21"/>
                <w:lang w:val="en-US" w:eastAsia="zh-CN" w:bidi="ar-SA"/>
              </w:rPr>
              <w:t>6</w:t>
            </w:r>
            <w:r>
              <w:rPr>
                <w:rFonts w:hint="eastAsia" w:ascii="宋体" w:hAnsi="宋体" w:eastAsia="宋体" w:cs="宋体"/>
                <w:iCs/>
                <w:sz w:val="21"/>
                <w:szCs w:val="21"/>
                <w:lang w:val="en-US" w:eastAsia="zh-CN" w:bidi="ar-SA"/>
              </w:rPr>
              <w:t>.其他：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14:paraId="6294BB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89" w:hRule="atLeast"/>
        </w:trPr>
        <w:tc>
          <w:tcPr>
            <w:tcW w:w="993" w:type="dxa"/>
            <w:tcBorders>
              <w:top w:val="single" w:color="auto" w:sz="4" w:space="0"/>
              <w:right w:val="single" w:color="auto" w:sz="4" w:space="0"/>
            </w:tcBorders>
            <w:vAlign w:val="center"/>
          </w:tcPr>
          <w:p w14:paraId="56C74B94">
            <w:pPr>
              <w:keepNext w:val="0"/>
              <w:keepLines w:val="0"/>
              <w:pageBreakBefore w:val="0"/>
              <w:kinsoku/>
              <w:overflowPunct/>
              <w:autoSpaceDE/>
              <w:bidi w:val="0"/>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10.4</w:t>
            </w:r>
          </w:p>
        </w:tc>
        <w:tc>
          <w:tcPr>
            <w:tcW w:w="2551" w:type="dxa"/>
            <w:tcBorders>
              <w:top w:val="single" w:color="auto" w:sz="4" w:space="0"/>
              <w:left w:val="single" w:color="auto" w:sz="4" w:space="0"/>
              <w:right w:val="single" w:color="auto" w:sz="4" w:space="0"/>
            </w:tcBorders>
            <w:vAlign w:val="center"/>
          </w:tcPr>
          <w:p w14:paraId="76FB6BB3">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5735" w:type="dxa"/>
            <w:tcBorders>
              <w:top w:val="single" w:color="auto" w:sz="4" w:space="0"/>
              <w:left w:val="single" w:color="auto" w:sz="4" w:space="0"/>
            </w:tcBorders>
            <w:vAlign w:val="center"/>
          </w:tcPr>
          <w:p w14:paraId="32A3C528">
            <w:pPr>
              <w:keepNext w:val="0"/>
              <w:keepLines w:val="0"/>
              <w:pageBreakBefore w:val="0"/>
              <w:kinsoku/>
              <w:overflowPunct/>
              <w:autoSpaceDE/>
              <w:bidi w:val="0"/>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_____________________________</w:t>
            </w:r>
          </w:p>
        </w:tc>
      </w:tr>
    </w:tbl>
    <w:p w14:paraId="07BEA5A4">
      <w:pPr>
        <w:spacing w:line="360" w:lineRule="auto"/>
        <w:jc w:val="left"/>
        <w:rPr>
          <w:szCs w:val="21"/>
        </w:rPr>
      </w:pPr>
    </w:p>
    <w:p w14:paraId="63567804">
      <w:pPr>
        <w:pageBreakBefore/>
        <w:spacing w:line="360" w:lineRule="auto"/>
        <w:jc w:val="left"/>
        <w:rPr>
          <w:szCs w:val="21"/>
        </w:rPr>
      </w:pPr>
      <w:r>
        <w:rPr>
          <w:rFonts w:hint="eastAsia"/>
          <w:szCs w:val="21"/>
        </w:rPr>
        <w:t>附录</w:t>
      </w:r>
    </w:p>
    <w:p w14:paraId="4533CCF5">
      <w:pPr>
        <w:spacing w:line="360" w:lineRule="auto"/>
      </w:pPr>
      <w:bookmarkStart w:id="82" w:name="EBf51333bdcb0c497ca15c6a0ca443d8e8"/>
      <w:r>
        <w:rPr>
          <w:sz w:val="20"/>
        </w:rPr>
        <w:t xml:space="preserve"> </w:t>
      </w:r>
      <w:bookmarkEnd w:id="82"/>
      <w:bookmarkStart w:id="83" w:name="EBb23999b5e26a4ac29ee2f7c6a5a266c8"/>
      <w:r>
        <w:rPr>
          <w:sz w:val="20"/>
        </w:rPr>
        <w:t xml:space="preserve"> </w:t>
      </w:r>
      <w:bookmarkEnd w:id="83"/>
      <w:bookmarkStart w:id="84" w:name="EB39a5d1a88c824f5d93c0af5037d8878f"/>
      <w:r>
        <w:rPr>
          <w:sz w:val="20"/>
        </w:rPr>
        <w:t xml:space="preserve"> </w:t>
      </w:r>
      <w:bookmarkEnd w:id="84"/>
    </w:p>
    <w:p w14:paraId="1B1BF683">
      <w:pPr>
        <w:pStyle w:val="6"/>
        <w:jc w:val="center"/>
        <w:rPr>
          <w:szCs w:val="21"/>
        </w:rPr>
      </w:pPr>
      <w:bookmarkStart w:id="85" w:name="_Toc452457626"/>
      <w:bookmarkStart w:id="86" w:name="_Toc7544"/>
      <w:bookmarkStart w:id="87" w:name="_Toc154675032"/>
      <w:r>
        <w:rPr>
          <w:rFonts w:hint="eastAsia"/>
        </w:rPr>
        <w:t>附录</w:t>
      </w:r>
      <w:r>
        <w:t xml:space="preserve">1 </w:t>
      </w:r>
      <w:r>
        <w:rPr>
          <w:rFonts w:hint="eastAsia"/>
        </w:rPr>
        <w:t>资格审查条件（资质最低要求）</w:t>
      </w:r>
      <w:r>
        <w:rPr>
          <w:rStyle w:val="80"/>
          <w:rFonts w:eastAsia="黑体"/>
          <w:sz w:val="28"/>
          <w:szCs w:val="28"/>
          <w:vertAlign w:val="superscript"/>
        </w:rPr>
        <w:footnoteReference w:id="1"/>
      </w:r>
      <w:bookmarkEnd w:id="85"/>
      <w:bookmarkEnd w:id="86"/>
      <w:bookmarkEnd w:id="87"/>
    </w:p>
    <w:p w14:paraId="6EA89403">
      <w:pPr>
        <w:spacing w:line="360" w:lineRule="auto"/>
        <w:jc w:val="center"/>
        <w:rPr>
          <w:rFonts w:eastAsia="黑体"/>
          <w:szCs w:val="21"/>
        </w:rPr>
      </w:pP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48"/>
        <w:gridCol w:w="6298"/>
      </w:tblGrid>
      <w:tr w14:paraId="4C7FF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trPr>
        <w:tc>
          <w:tcPr>
            <w:tcW w:w="2751" w:type="dxa"/>
            <w:vAlign w:val="center"/>
          </w:tcPr>
          <w:p w14:paraId="4F1C9CCB">
            <w:pPr>
              <w:spacing w:line="360" w:lineRule="auto"/>
              <w:jc w:val="center"/>
              <w:rPr>
                <w:szCs w:val="21"/>
              </w:rPr>
            </w:pPr>
            <w:r>
              <w:rPr>
                <w:rFonts w:hint="eastAsia"/>
                <w:szCs w:val="21"/>
              </w:rPr>
              <w:t>标段</w:t>
            </w:r>
          </w:p>
        </w:tc>
        <w:tc>
          <w:tcPr>
            <w:tcW w:w="6429" w:type="dxa"/>
            <w:vAlign w:val="center"/>
          </w:tcPr>
          <w:p w14:paraId="6F90A763">
            <w:pPr>
              <w:spacing w:line="360" w:lineRule="auto"/>
              <w:jc w:val="center"/>
              <w:rPr>
                <w:szCs w:val="21"/>
              </w:rPr>
            </w:pPr>
            <w:r>
              <w:rPr>
                <w:rFonts w:hint="eastAsia"/>
                <w:szCs w:val="21"/>
              </w:rPr>
              <w:t>施工企业资质等级要求</w:t>
            </w:r>
          </w:p>
        </w:tc>
      </w:tr>
      <w:tr w14:paraId="19EF7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1" w:hRule="atLeast"/>
        </w:trPr>
        <w:tc>
          <w:tcPr>
            <w:tcW w:w="2751" w:type="dxa"/>
            <w:vAlign w:val="center"/>
          </w:tcPr>
          <w:p w14:paraId="488D8829">
            <w:pPr>
              <w:spacing w:line="360" w:lineRule="auto"/>
              <w:jc w:val="center"/>
              <w:rPr>
                <w:szCs w:val="21"/>
              </w:rPr>
            </w:pPr>
          </w:p>
        </w:tc>
        <w:tc>
          <w:tcPr>
            <w:tcW w:w="6429" w:type="dxa"/>
            <w:vAlign w:val="center"/>
          </w:tcPr>
          <w:p w14:paraId="5A6E1AA2">
            <w:pPr>
              <w:spacing w:line="360" w:lineRule="auto"/>
            </w:pPr>
            <w:r>
              <w:rPr>
                <w:rFonts w:hint="eastAsia"/>
                <w:lang w:eastAsia="zh-CN"/>
              </w:rPr>
              <w:t>竞</w:t>
            </w:r>
            <w:r>
              <w:rPr>
                <w:rFonts w:hint="eastAsia"/>
                <w:highlight w:val="none"/>
                <w:lang w:eastAsia="zh-CN"/>
              </w:rPr>
              <w:t>包人</w:t>
            </w:r>
            <w:r>
              <w:rPr>
                <w:rFonts w:hint="eastAsia"/>
                <w:highlight w:val="none"/>
              </w:rPr>
              <w:t>应具备</w:t>
            </w:r>
            <w:bookmarkStart w:id="88" w:name="EBb83b47905c404f21ae1189911e4b376b"/>
            <w:r>
              <w:rPr>
                <w:rFonts w:hint="eastAsia"/>
                <w:highlight w:val="none"/>
                <w:u w:val="single"/>
              </w:rPr>
              <w:t>独立法人资格、</w:t>
            </w:r>
            <w:r>
              <w:rPr>
                <w:highlight w:val="none"/>
                <w:u w:val="single"/>
              </w:rPr>
              <w:t xml:space="preserve">  </w:t>
            </w:r>
            <w:r>
              <w:rPr>
                <w:u w:val="single"/>
              </w:rPr>
              <w:t xml:space="preserve">           </w:t>
            </w:r>
            <w:bookmarkEnd w:id="88"/>
            <w:r>
              <w:rPr>
                <w:rFonts w:hint="eastAsia"/>
              </w:rPr>
              <w:t>资质</w:t>
            </w:r>
            <w:r>
              <w:t xml:space="preserve"> </w:t>
            </w:r>
            <w:r>
              <w:rPr>
                <w:rFonts w:hint="eastAsia"/>
              </w:rPr>
              <w:t>；</w:t>
            </w:r>
          </w:p>
          <w:p w14:paraId="21F5C838">
            <w:pPr>
              <w:spacing w:line="360" w:lineRule="auto"/>
            </w:pPr>
          </w:p>
          <w:p w14:paraId="34634E35">
            <w:pPr>
              <w:spacing w:line="360" w:lineRule="auto"/>
            </w:pPr>
            <w:r>
              <w:rPr>
                <w:rFonts w:ascii="宋体" w:hAnsi="宋体"/>
              </w:rPr>
              <w:t>□</w:t>
            </w:r>
            <w:r>
              <w:rPr>
                <w:rFonts w:hint="eastAsia"/>
              </w:rPr>
              <w:t>联合体</w:t>
            </w:r>
            <w:r>
              <w:rPr>
                <w:rFonts w:hint="eastAsia"/>
                <w:lang w:val="en-US" w:eastAsia="zh-CN"/>
              </w:rPr>
              <w:t>竞包</w:t>
            </w:r>
            <w:r>
              <w:rPr>
                <w:rFonts w:hint="eastAsia"/>
              </w:rPr>
              <w:t>时，联合体各成员资质要求：</w:t>
            </w:r>
            <w:r>
              <w:t>________________</w:t>
            </w:r>
            <w:r>
              <w:rPr>
                <w:rFonts w:hint="eastAsia"/>
              </w:rPr>
              <w:t>，</w:t>
            </w:r>
            <w:r>
              <w:t>_____________________________</w:t>
            </w:r>
            <w:r>
              <w:rPr>
                <w:rFonts w:hint="eastAsia"/>
              </w:rPr>
              <w:t>。</w:t>
            </w:r>
          </w:p>
          <w:p w14:paraId="645E8499">
            <w:pPr>
              <w:spacing w:line="360" w:lineRule="auto"/>
            </w:pPr>
          </w:p>
        </w:tc>
      </w:tr>
    </w:tbl>
    <w:p w14:paraId="751AE48A">
      <w:pPr>
        <w:spacing w:line="360" w:lineRule="auto"/>
        <w:jc w:val="left"/>
        <w:rPr>
          <w:sz w:val="20"/>
          <w:szCs w:val="21"/>
        </w:rPr>
      </w:pPr>
      <w:bookmarkStart w:id="89" w:name="EB883ce9d83bad4b5fac2e10e7e84baf79"/>
      <w:r>
        <w:rPr>
          <w:sz w:val="20"/>
          <w:szCs w:val="21"/>
        </w:rPr>
        <w:t xml:space="preserve"> </w:t>
      </w:r>
      <w:bookmarkEnd w:id="89"/>
    </w:p>
    <w:p w14:paraId="6120E3DD">
      <w:pPr>
        <w:spacing w:line="360" w:lineRule="auto"/>
        <w:jc w:val="left"/>
        <w:rPr>
          <w:szCs w:val="21"/>
        </w:rPr>
      </w:pPr>
    </w:p>
    <w:p w14:paraId="7076BB49">
      <w:pPr>
        <w:spacing w:line="360" w:lineRule="auto"/>
        <w:jc w:val="left"/>
        <w:rPr>
          <w:szCs w:val="21"/>
        </w:rPr>
      </w:pPr>
      <w:r>
        <w:rPr>
          <w:szCs w:val="21"/>
        </w:rPr>
        <w:br w:type="page"/>
      </w:r>
      <w:bookmarkStart w:id="90" w:name="EB1c3ca57666ef463d97fe82f1f30b66aa"/>
      <w:r>
        <w:rPr>
          <w:sz w:val="20"/>
          <w:szCs w:val="21"/>
        </w:rPr>
        <w:t xml:space="preserve"> </w:t>
      </w:r>
      <w:bookmarkEnd w:id="90"/>
    </w:p>
    <w:p w14:paraId="0CB5F75C">
      <w:pPr>
        <w:pStyle w:val="6"/>
        <w:jc w:val="center"/>
      </w:pPr>
      <w:bookmarkStart w:id="91" w:name="_Toc452457630"/>
      <w:bookmarkStart w:id="92" w:name="_Toc6220"/>
      <w:bookmarkStart w:id="93" w:name="_Toc154675036"/>
      <w:r>
        <w:rPr>
          <w:rFonts w:hint="eastAsia"/>
        </w:rPr>
        <w:t>附录</w:t>
      </w:r>
      <w:r>
        <w:rPr>
          <w:rFonts w:hint="eastAsia"/>
          <w:lang w:val="en-US" w:eastAsia="zh-CN"/>
        </w:rPr>
        <w:t>2</w:t>
      </w:r>
      <w:r>
        <w:t xml:space="preserve"> </w:t>
      </w:r>
      <w:r>
        <w:rPr>
          <w:rFonts w:hint="eastAsia"/>
        </w:rPr>
        <w:t>资格审查条件（项目经理）</w:t>
      </w:r>
      <w:bookmarkEnd w:id="91"/>
      <w:bookmarkEnd w:id="92"/>
      <w:bookmarkEnd w:id="93"/>
    </w:p>
    <w:p w14:paraId="2AE269BD">
      <w:pPr>
        <w:spacing w:line="360" w:lineRule="auto"/>
      </w:pP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20"/>
        <w:gridCol w:w="1122"/>
        <w:gridCol w:w="6004"/>
      </w:tblGrid>
      <w:tr w14:paraId="26FFB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843" w:type="dxa"/>
            <w:tcBorders>
              <w:top w:val="single" w:color="auto" w:sz="12" w:space="0"/>
              <w:left w:val="single" w:color="auto" w:sz="12" w:space="0"/>
              <w:bottom w:val="single" w:color="auto" w:sz="4" w:space="0"/>
              <w:right w:val="single" w:color="auto" w:sz="4" w:space="0"/>
            </w:tcBorders>
            <w:vAlign w:val="center"/>
          </w:tcPr>
          <w:p w14:paraId="09F1AED4">
            <w:pPr>
              <w:spacing w:line="240" w:lineRule="auto"/>
              <w:jc w:val="center"/>
              <w:rPr>
                <w:szCs w:val="21"/>
              </w:rPr>
            </w:pPr>
            <w:r>
              <w:rPr>
                <w:rFonts w:hint="eastAsia"/>
                <w:szCs w:val="21"/>
              </w:rPr>
              <w:t>人员</w:t>
            </w:r>
          </w:p>
        </w:tc>
        <w:tc>
          <w:tcPr>
            <w:tcW w:w="1134" w:type="dxa"/>
            <w:tcBorders>
              <w:top w:val="single" w:color="auto" w:sz="12" w:space="0"/>
              <w:left w:val="single" w:color="auto" w:sz="4" w:space="0"/>
              <w:bottom w:val="single" w:color="auto" w:sz="4" w:space="0"/>
              <w:right w:val="single" w:color="auto" w:sz="4" w:space="0"/>
            </w:tcBorders>
            <w:vAlign w:val="center"/>
          </w:tcPr>
          <w:p w14:paraId="237A95D8">
            <w:pPr>
              <w:spacing w:line="240" w:lineRule="auto"/>
              <w:jc w:val="center"/>
              <w:rPr>
                <w:szCs w:val="21"/>
              </w:rPr>
            </w:pPr>
            <w:r>
              <w:rPr>
                <w:rFonts w:hint="eastAsia"/>
                <w:szCs w:val="21"/>
              </w:rPr>
              <w:t>数量</w:t>
            </w:r>
          </w:p>
        </w:tc>
        <w:tc>
          <w:tcPr>
            <w:tcW w:w="6089" w:type="dxa"/>
            <w:tcBorders>
              <w:top w:val="single" w:color="auto" w:sz="12" w:space="0"/>
              <w:left w:val="single" w:color="auto" w:sz="4" w:space="0"/>
              <w:bottom w:val="single" w:color="auto" w:sz="4" w:space="0"/>
              <w:right w:val="single" w:color="auto" w:sz="12" w:space="0"/>
            </w:tcBorders>
            <w:vAlign w:val="center"/>
          </w:tcPr>
          <w:p w14:paraId="6039E1B4">
            <w:pPr>
              <w:spacing w:line="240" w:lineRule="auto"/>
              <w:jc w:val="center"/>
              <w:rPr>
                <w:szCs w:val="21"/>
              </w:rPr>
            </w:pPr>
            <w:r>
              <w:rPr>
                <w:rFonts w:hint="eastAsia"/>
                <w:szCs w:val="21"/>
              </w:rPr>
              <w:t>资格要求</w:t>
            </w:r>
          </w:p>
        </w:tc>
      </w:tr>
      <w:tr w14:paraId="119EE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6" w:hRule="atLeast"/>
        </w:trPr>
        <w:tc>
          <w:tcPr>
            <w:tcW w:w="1843" w:type="dxa"/>
            <w:tcBorders>
              <w:top w:val="single" w:color="auto" w:sz="4" w:space="0"/>
              <w:left w:val="single" w:color="auto" w:sz="12" w:space="0"/>
              <w:bottom w:val="single" w:color="auto" w:sz="12" w:space="0"/>
              <w:right w:val="single" w:color="auto" w:sz="4" w:space="0"/>
            </w:tcBorders>
            <w:vAlign w:val="center"/>
          </w:tcPr>
          <w:p w14:paraId="3D52A684">
            <w:pPr>
              <w:spacing w:line="360" w:lineRule="auto"/>
              <w:jc w:val="center"/>
              <w:rPr>
                <w:szCs w:val="21"/>
              </w:rPr>
            </w:pPr>
            <w:r>
              <w:rPr>
                <w:rFonts w:hint="eastAsia"/>
                <w:szCs w:val="21"/>
              </w:rPr>
              <w:t>项目经理</w:t>
            </w:r>
          </w:p>
        </w:tc>
        <w:tc>
          <w:tcPr>
            <w:tcW w:w="1134" w:type="dxa"/>
            <w:tcBorders>
              <w:top w:val="single" w:color="auto" w:sz="4" w:space="0"/>
              <w:left w:val="single" w:color="auto" w:sz="4" w:space="0"/>
              <w:bottom w:val="single" w:color="auto" w:sz="12" w:space="0"/>
              <w:right w:val="single" w:color="auto" w:sz="4" w:space="0"/>
            </w:tcBorders>
            <w:vAlign w:val="center"/>
          </w:tcPr>
          <w:p w14:paraId="058E7CD4">
            <w:pPr>
              <w:spacing w:line="360" w:lineRule="auto"/>
              <w:jc w:val="center"/>
              <w:rPr>
                <w:szCs w:val="21"/>
              </w:rPr>
            </w:pPr>
            <w:r>
              <w:rPr>
                <w:szCs w:val="21"/>
              </w:rPr>
              <w:t>1</w:t>
            </w:r>
          </w:p>
        </w:tc>
        <w:tc>
          <w:tcPr>
            <w:tcW w:w="6089" w:type="dxa"/>
            <w:tcBorders>
              <w:top w:val="single" w:color="auto" w:sz="4" w:space="0"/>
              <w:left w:val="single" w:color="auto" w:sz="4" w:space="0"/>
              <w:bottom w:val="single" w:color="auto" w:sz="12" w:space="0"/>
              <w:right w:val="single" w:color="auto" w:sz="12" w:space="0"/>
            </w:tcBorders>
            <w:vAlign w:val="center"/>
          </w:tcPr>
          <w:p w14:paraId="396C130B">
            <w:pPr>
              <w:spacing w:line="360" w:lineRule="auto"/>
            </w:pPr>
            <w:r>
              <w:rPr>
                <w:szCs w:val="21"/>
              </w:rPr>
              <w:t>1</w:t>
            </w:r>
            <w:r>
              <w:rPr>
                <w:rFonts w:hint="eastAsia"/>
                <w:szCs w:val="21"/>
              </w:rPr>
              <w:t>、</w:t>
            </w:r>
            <w:r>
              <w:rPr>
                <w:rFonts w:hint="eastAsia"/>
                <w:spacing w:val="-4"/>
              </w:rPr>
              <w:t>有</w:t>
            </w:r>
            <w:r>
              <w:rPr>
                <w:spacing w:val="-4"/>
                <w:u w:val="single"/>
              </w:rPr>
              <w:t xml:space="preserve">       </w:t>
            </w:r>
            <w:r>
              <w:rPr>
                <w:rFonts w:hint="eastAsia"/>
                <w:spacing w:val="-4"/>
              </w:rPr>
              <w:t>（专业及等级）</w:t>
            </w:r>
            <w:r>
              <w:rPr>
                <w:rFonts w:hint="eastAsia"/>
              </w:rPr>
              <w:t>注册建造师证书</w:t>
            </w:r>
            <w:r>
              <w:rPr>
                <w:rFonts w:hint="eastAsia"/>
                <w:spacing w:val="-4"/>
              </w:rPr>
              <w:t>，</w:t>
            </w:r>
            <w:r>
              <w:t>____</w:t>
            </w:r>
            <w:r>
              <w:rPr>
                <w:rFonts w:hint="eastAsia"/>
              </w:rPr>
              <w:t>技术职称；</w:t>
            </w:r>
          </w:p>
          <w:p w14:paraId="1EC2E1FD">
            <w:pPr>
              <w:spacing w:line="360" w:lineRule="auto"/>
            </w:pPr>
            <w:r>
              <w:rPr>
                <w:rFonts w:ascii="宋体" w:hAnsi="宋体"/>
              </w:rPr>
              <w:t>□</w:t>
            </w:r>
            <w:r>
              <w:t>2</w:t>
            </w:r>
            <w:r>
              <w:rPr>
                <w:rFonts w:hint="eastAsia"/>
              </w:rPr>
              <w:t>、有效期内的</w:t>
            </w:r>
            <w:bookmarkStart w:id="94" w:name="_Hlk90280909"/>
            <w:r>
              <w:t>____</w:t>
            </w:r>
            <w:r>
              <w:rPr>
                <w:rFonts w:hint="eastAsia"/>
              </w:rPr>
              <w:t>（</w:t>
            </w:r>
            <w:r>
              <w:rPr>
                <w:rFonts w:ascii="宋体" w:hAnsi="宋体"/>
              </w:rPr>
              <w:t>□</w:t>
            </w:r>
            <w:r>
              <w:rPr>
                <w:rFonts w:hint="eastAsia"/>
              </w:rPr>
              <w:t>公路水运</w:t>
            </w:r>
            <w:r>
              <w:t>/</w:t>
            </w:r>
            <w:r>
              <w:rPr>
                <w:rFonts w:ascii="宋体" w:hAnsi="宋体"/>
              </w:rPr>
              <w:t>□</w:t>
            </w:r>
            <w:r>
              <w:rPr>
                <w:rFonts w:hint="eastAsia"/>
              </w:rPr>
              <w:t>建筑）</w:t>
            </w:r>
            <w:bookmarkEnd w:id="94"/>
            <w:r>
              <w:rPr>
                <w:rFonts w:hint="eastAsia"/>
              </w:rPr>
              <w:t>施工企业项目负责人安全生产考核合格证书（</w:t>
            </w:r>
            <w:r>
              <w:t>B</w:t>
            </w:r>
            <w:r>
              <w:rPr>
                <w:rFonts w:hint="eastAsia"/>
              </w:rPr>
              <w:t>类）；</w:t>
            </w:r>
          </w:p>
          <w:p w14:paraId="4C056B7A">
            <w:pPr>
              <w:spacing w:line="360" w:lineRule="auto"/>
              <w:rPr>
                <w:rFonts w:ascii="Arial" w:hAnsi="Arial"/>
                <w:szCs w:val="21"/>
                <w:lang w:val="de-DE" w:eastAsia="de-DE"/>
              </w:rPr>
            </w:pPr>
            <w:r>
              <w:rPr>
                <w:szCs w:val="21"/>
              </w:rPr>
              <w:t>3</w:t>
            </w:r>
            <w:r>
              <w:rPr>
                <w:rFonts w:hint="eastAsia"/>
                <w:szCs w:val="21"/>
              </w:rPr>
              <w:t>、</w:t>
            </w:r>
            <w:r>
              <w:rPr>
                <w:rFonts w:hint="eastAsia"/>
              </w:rPr>
              <w:t>拟任项目经理</w:t>
            </w:r>
            <w:r>
              <w:rPr>
                <w:rFonts w:hint="eastAsia"/>
                <w:lang w:val="en-US" w:eastAsia="zh-CN"/>
              </w:rPr>
              <w:t>竞包</w:t>
            </w:r>
            <w:r>
              <w:rPr>
                <w:rFonts w:hint="eastAsia"/>
              </w:rPr>
              <w:t>截止时间未在其他在建合同工程中任项目经理（包括设计施工总承包项目中的施工负责人）。</w:t>
            </w:r>
          </w:p>
        </w:tc>
      </w:tr>
    </w:tbl>
    <w:p w14:paraId="65F43DFD">
      <w:pPr>
        <w:spacing w:line="360" w:lineRule="auto"/>
        <w:jc w:val="left"/>
        <w:rPr>
          <w:szCs w:val="21"/>
        </w:rPr>
      </w:pPr>
      <w:r>
        <w:rPr>
          <w:szCs w:val="21"/>
        </w:rPr>
        <w:br w:type="page"/>
      </w:r>
      <w:bookmarkStart w:id="95" w:name="EB7380f7163af043ab9d72e623c9e2ff26"/>
      <w:r>
        <w:rPr>
          <w:sz w:val="20"/>
          <w:szCs w:val="21"/>
        </w:rPr>
        <w:t xml:space="preserve"> </w:t>
      </w:r>
      <w:bookmarkEnd w:id="95"/>
    </w:p>
    <w:p w14:paraId="24314245">
      <w:pPr>
        <w:pStyle w:val="6"/>
        <w:jc w:val="center"/>
      </w:pPr>
      <w:bookmarkStart w:id="96" w:name="_Toc452457628"/>
      <w:bookmarkStart w:id="97" w:name="_Toc154675034"/>
      <w:r>
        <w:rPr>
          <w:rFonts w:hint="eastAsia"/>
        </w:rPr>
        <w:t>附录</w:t>
      </w:r>
      <w:r>
        <w:t xml:space="preserve">3 </w:t>
      </w:r>
      <w:r>
        <w:rPr>
          <w:rFonts w:hint="eastAsia"/>
        </w:rPr>
        <w:t>资格审查条件（业绩最低要求）</w:t>
      </w:r>
      <w:r>
        <w:rPr>
          <w:rStyle w:val="80"/>
          <w:rFonts w:eastAsia="黑体"/>
          <w:sz w:val="28"/>
          <w:szCs w:val="28"/>
          <w:vertAlign w:val="superscript"/>
        </w:rPr>
        <w:footnoteReference w:id="2"/>
      </w:r>
      <w:bookmarkEnd w:id="96"/>
      <w:bookmarkEnd w:id="97"/>
    </w:p>
    <w:p w14:paraId="3276EB4E">
      <w:pPr>
        <w:spacing w:line="360" w:lineRule="auto"/>
      </w:pP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80"/>
        <w:gridCol w:w="6266"/>
      </w:tblGrid>
      <w:tr w14:paraId="3CEBE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751" w:type="dxa"/>
            <w:vAlign w:val="center"/>
          </w:tcPr>
          <w:p w14:paraId="6522E905">
            <w:pPr>
              <w:spacing w:line="360" w:lineRule="auto"/>
              <w:jc w:val="center"/>
              <w:rPr>
                <w:szCs w:val="21"/>
              </w:rPr>
            </w:pPr>
            <w:r>
              <w:rPr>
                <w:rFonts w:hint="eastAsia"/>
                <w:szCs w:val="21"/>
              </w:rPr>
              <w:t>标段</w:t>
            </w:r>
          </w:p>
        </w:tc>
        <w:tc>
          <w:tcPr>
            <w:tcW w:w="6429" w:type="dxa"/>
            <w:vAlign w:val="center"/>
          </w:tcPr>
          <w:p w14:paraId="44E0FDC7">
            <w:pPr>
              <w:spacing w:line="360" w:lineRule="auto"/>
              <w:jc w:val="center"/>
              <w:rPr>
                <w:szCs w:val="21"/>
              </w:rPr>
            </w:pPr>
            <w:r>
              <w:rPr>
                <w:rFonts w:hint="eastAsia"/>
                <w:szCs w:val="21"/>
              </w:rPr>
              <w:t>业绩要求</w:t>
            </w:r>
          </w:p>
        </w:tc>
      </w:tr>
      <w:tr w14:paraId="2405A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8" w:hRule="atLeast"/>
        </w:trPr>
        <w:tc>
          <w:tcPr>
            <w:tcW w:w="2751" w:type="dxa"/>
            <w:vAlign w:val="center"/>
          </w:tcPr>
          <w:p w14:paraId="02A47ED6">
            <w:pPr>
              <w:spacing w:line="360" w:lineRule="auto"/>
              <w:jc w:val="center"/>
            </w:pPr>
          </w:p>
        </w:tc>
        <w:tc>
          <w:tcPr>
            <w:tcW w:w="6429" w:type="dxa"/>
            <w:vAlign w:val="center"/>
          </w:tcPr>
          <w:p w14:paraId="1F046453">
            <w:pPr>
              <w:spacing w:line="360" w:lineRule="auto"/>
              <w:ind w:firstLine="420" w:firstLineChars="200"/>
            </w:pPr>
            <w:r>
              <w:rPr>
                <w:rFonts w:hint="eastAsia"/>
              </w:rPr>
              <w:t>自</w:t>
            </w:r>
            <w:r>
              <w:rPr>
                <w:u w:val="single"/>
              </w:rPr>
              <w:t xml:space="preserve">    </w:t>
            </w:r>
            <w:r>
              <w:rPr>
                <w:rFonts w:hint="eastAsia"/>
              </w:rPr>
              <w:t>年</w:t>
            </w:r>
            <w:r>
              <w:rPr>
                <w:u w:val="single"/>
              </w:rPr>
              <w:t xml:space="preserve">  </w:t>
            </w:r>
            <w:r>
              <w:rPr>
                <w:rFonts w:hint="eastAsia"/>
              </w:rPr>
              <w:t>月</w:t>
            </w:r>
            <w:bookmarkStart w:id="98" w:name="EBa643069bee41469e85a6d5302b361102"/>
            <w:r>
              <w:rPr>
                <w:u w:val="single"/>
              </w:rPr>
              <w:t>1</w:t>
            </w:r>
            <w:bookmarkEnd w:id="98"/>
            <w:r>
              <w:rPr>
                <w:rFonts w:hint="eastAsia"/>
              </w:rPr>
              <w:t>日（以实际交工日期为准</w:t>
            </w:r>
            <w:r>
              <w:rPr>
                <w:rStyle w:val="54"/>
              </w:rPr>
              <w:footnoteReference w:id="3"/>
            </w:r>
            <w:r>
              <w:rPr>
                <w:rFonts w:hint="eastAsia"/>
              </w:rPr>
              <w:t>）以来</w:t>
            </w:r>
            <w:r>
              <w:rPr>
                <w:u w:val="single"/>
              </w:rPr>
              <w:t xml:space="preserve">            </w:t>
            </w:r>
            <w:r>
              <w:rPr>
                <w:rFonts w:hint="eastAsia"/>
              </w:rPr>
              <w:t>工程的施工；</w:t>
            </w:r>
          </w:p>
          <w:p w14:paraId="3197CCB9">
            <w:pPr>
              <w:spacing w:line="360" w:lineRule="auto"/>
              <w:ind w:firstLine="420" w:firstLineChars="200"/>
            </w:pPr>
            <w:r>
              <w:t>……</w:t>
            </w:r>
          </w:p>
        </w:tc>
      </w:tr>
      <w:tr w14:paraId="58745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2751" w:type="dxa"/>
            <w:vAlign w:val="center"/>
          </w:tcPr>
          <w:p w14:paraId="6E126BC9">
            <w:pPr>
              <w:spacing w:line="360" w:lineRule="auto"/>
            </w:pPr>
            <w:bookmarkStart w:id="99" w:name="EBeceedd01a80d427a8de035995824725a"/>
            <w:r>
              <w:t xml:space="preserve">  </w:t>
            </w:r>
            <w:bookmarkEnd w:id="99"/>
          </w:p>
        </w:tc>
        <w:tc>
          <w:tcPr>
            <w:tcW w:w="6429" w:type="dxa"/>
            <w:vAlign w:val="center"/>
          </w:tcPr>
          <w:p w14:paraId="6CB65B7E">
            <w:pPr>
              <w:spacing w:line="360" w:lineRule="auto"/>
            </w:pPr>
            <w:bookmarkStart w:id="100" w:name="EB3c25b8afe889405ab2d8a4b32032fbcf"/>
            <w:r>
              <w:t xml:space="preserve">  </w:t>
            </w:r>
            <w:bookmarkEnd w:id="100"/>
          </w:p>
        </w:tc>
      </w:tr>
    </w:tbl>
    <w:p w14:paraId="314B7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注：竞包人应在</w:t>
      </w:r>
      <w:r>
        <w:rPr>
          <w:rFonts w:hint="eastAsia"/>
          <w:lang w:eastAsia="zh-CN"/>
        </w:rPr>
        <w:t>“</w:t>
      </w:r>
      <w:r>
        <w:rPr>
          <w:rFonts w:hint="eastAsia"/>
        </w:rPr>
        <w:t>第九章</w:t>
      </w:r>
      <w:r>
        <w:t xml:space="preserve"> </w:t>
      </w:r>
      <w:r>
        <w:rPr>
          <w:rFonts w:hint="eastAsia"/>
          <w:lang w:val="en-US" w:eastAsia="zh-CN"/>
        </w:rPr>
        <w:t>竞包</w:t>
      </w:r>
      <w:r>
        <w:rPr>
          <w:rFonts w:hint="eastAsia"/>
        </w:rPr>
        <w:t>文件格式</w:t>
      </w:r>
      <w:r>
        <w:rPr>
          <w:rFonts w:hint="eastAsia"/>
          <w:lang w:eastAsia="zh-CN"/>
        </w:rPr>
        <w:t>”</w:t>
      </w:r>
      <w:r>
        <w:rPr>
          <w:rFonts w:hint="eastAsia"/>
        </w:rPr>
        <w:t>的</w:t>
      </w:r>
      <w:r>
        <w:rPr>
          <w:rFonts w:hint="eastAsia"/>
          <w:lang w:eastAsia="zh-CN"/>
        </w:rPr>
        <w:t>“</w:t>
      </w:r>
      <w:r>
        <w:rPr>
          <w:rFonts w:hint="eastAsia"/>
        </w:rPr>
        <w:t>近年完成的主要类似项目情况表</w:t>
      </w:r>
      <w:r>
        <w:rPr>
          <w:rFonts w:hint="eastAsia"/>
          <w:lang w:eastAsia="zh-CN"/>
        </w:rPr>
        <w:t>”</w:t>
      </w:r>
      <w:r>
        <w:rPr>
          <w:rFonts w:hint="eastAsia"/>
        </w:rPr>
        <w:t>后应附：</w:t>
      </w:r>
    </w:p>
    <w:p w14:paraId="5C2C1A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从“浙江省交通运输信用综合管理服务系统”中打印的含有该系统水印的《主要业绩信息一览表》；</w:t>
      </w:r>
    </w:p>
    <w:p w14:paraId="60FD9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主要业绩信息一览表》中未体现资格审查业绩所需相关信息的，还应附中标通知书或合同协议书或质量证明文件（由发包人出具的公路工程（标段）交工验收证书或竣工验收委员会出具的公路工程竣工验收报告或质量监督机构对各参建单位签发的工作综合评价等级证书）或项目发包人（或项目质量监督部门或项目所在地设区市行业主管部门）出具的证明材料，否则业绩不予认可。</w:t>
      </w:r>
    </w:p>
    <w:p w14:paraId="08742E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rPr>
        <w:t>房建等附属设施招标时无法提供《主要业绩信息一览表》的，应附：（1）中标通知书复印件；（2）合同协议书复印件；（3）质量证明文件（由发包人出具的交工验收证书或竣工验收委员会出具的工程竣工验收报告或质量监督机构对各参建单位签发的工作综合评价等级证书）的复印件，三者缺一不可。所附资料的解释顺序为：质量证明文件、合同协议书、中标通知书；如上述资料中均未体现工程规模、技术标准、主要工程内容的，必须附项目发包人</w:t>
      </w:r>
      <w:r>
        <w:rPr>
          <w:rFonts w:hint="eastAsia" w:ascii="宋体" w:hAnsi="宋体" w:eastAsia="宋体" w:cs="宋体"/>
        </w:rPr>
        <w:t>或项目质量监督部门或项目所在地设区市行业主管部门出具的证明材料，否则业绩不予认可。</w:t>
      </w:r>
    </w:p>
    <w:p w14:paraId="376605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上述资料中的施工单位名称与</w:t>
      </w:r>
      <w:r>
        <w:rPr>
          <w:rFonts w:hint="eastAsia" w:ascii="宋体" w:hAnsi="宋体" w:cs="宋体"/>
          <w:lang w:val="en-US" w:eastAsia="zh-CN"/>
        </w:rPr>
        <w:t>竞包</w:t>
      </w:r>
      <w:r>
        <w:rPr>
          <w:rFonts w:hint="eastAsia" w:ascii="宋体" w:hAnsi="宋体" w:eastAsia="宋体" w:cs="宋体"/>
        </w:rPr>
        <w:t>人名称必须一致，否则业绩不予认可。以下情形除外：</w:t>
      </w:r>
    </w:p>
    <w:p w14:paraId="10270F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（1）施工单位名称发生变更的，但需提供法定部门的批准材料。</w:t>
      </w:r>
    </w:p>
    <w:p w14:paraId="603606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 ___________（</w:t>
      </w:r>
      <w:r>
        <w:rPr>
          <w:rFonts w:hint="eastAsia" w:ascii="宋体" w:hAnsi="宋体" w:eastAsia="宋体" w:cs="宋体"/>
          <w:lang w:val="en-US" w:eastAsia="zh-CN"/>
        </w:rPr>
        <w:t>发标</w:t>
      </w:r>
      <w:r>
        <w:rPr>
          <w:rFonts w:hint="eastAsia" w:ascii="宋体" w:hAnsi="宋体" w:eastAsia="宋体" w:cs="宋体"/>
        </w:rPr>
        <w:t>人认可的其他情形，应在</w:t>
      </w:r>
      <w:r>
        <w:rPr>
          <w:rFonts w:hint="eastAsia" w:ascii="宋体" w:hAnsi="宋体" w:eastAsia="宋体" w:cs="宋体"/>
          <w:lang w:val="en-US" w:eastAsia="zh-CN"/>
        </w:rPr>
        <w:t>竞包</w:t>
      </w:r>
      <w:r>
        <w:rPr>
          <w:rFonts w:hint="eastAsia" w:ascii="宋体" w:hAnsi="宋体" w:eastAsia="宋体" w:cs="宋体"/>
        </w:rPr>
        <w:t>文件中对相关业绩的认定标准和证明材料作出明确规定）。</w:t>
      </w:r>
    </w:p>
    <w:p w14:paraId="71C1E372">
      <w:pPr>
        <w:rPr>
          <w:rFonts w:hint="eastAsia" w:ascii="宋体" w:hAnsi="宋体" w:eastAsia="宋体" w:cs="宋体"/>
          <w:b w:val="0"/>
          <w:sz w:val="21"/>
          <w:szCs w:val="21"/>
        </w:rPr>
      </w:pPr>
      <w:bookmarkStart w:id="101" w:name="_Toc154675040"/>
      <w:bookmarkStart w:id="102" w:name="_Toc11096"/>
      <w:bookmarkStart w:id="103" w:name="_Toc28748"/>
      <w:bookmarkStart w:id="104" w:name="_Toc475825734"/>
      <w:r>
        <w:rPr>
          <w:rFonts w:hint="eastAsia" w:ascii="宋体" w:hAnsi="宋体" w:eastAsia="宋体" w:cs="宋体"/>
          <w:b w:val="0"/>
          <w:sz w:val="21"/>
          <w:szCs w:val="21"/>
        </w:rPr>
        <w:br w:type="page"/>
      </w:r>
    </w:p>
    <w:p w14:paraId="0FFC92B0">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1. 总则</w:t>
      </w:r>
      <w:bookmarkEnd w:id="101"/>
      <w:bookmarkEnd w:id="102"/>
      <w:bookmarkEnd w:id="103"/>
      <w:bookmarkEnd w:id="104"/>
    </w:p>
    <w:p w14:paraId="33AF4EA6">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05" w:name="_Toc475825735"/>
      <w:r>
        <w:rPr>
          <w:rFonts w:hint="eastAsia" w:ascii="宋体" w:hAnsi="宋体" w:eastAsia="宋体" w:cs="宋体"/>
          <w:sz w:val="21"/>
          <w:szCs w:val="21"/>
        </w:rPr>
        <w:t>1.1 项目概况</w:t>
      </w:r>
      <w:bookmarkEnd w:id="105"/>
    </w:p>
    <w:p w14:paraId="251ABEA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1.1.1根据《中华人民共和国招标投标法》、《中华人民共和国招标投标法实施条例》、《公路工程建设项目招标投标管理办法》等有关法律、法规和规章的规定，本</w:t>
      </w:r>
      <w:r>
        <w:rPr>
          <w:rFonts w:hint="eastAsia" w:ascii="宋体" w:hAnsi="宋体" w:cs="宋体"/>
          <w:sz w:val="21"/>
          <w:szCs w:val="21"/>
          <w:lang w:eastAsia="zh-CN"/>
        </w:rPr>
        <w:t>发包</w:t>
      </w:r>
      <w:r>
        <w:rPr>
          <w:rFonts w:hint="eastAsia" w:ascii="宋体" w:hAnsi="宋体" w:eastAsia="宋体" w:cs="宋体"/>
          <w:sz w:val="21"/>
          <w:szCs w:val="21"/>
        </w:rPr>
        <w:t>项目已具备</w:t>
      </w:r>
      <w:r>
        <w:rPr>
          <w:rFonts w:hint="eastAsia" w:ascii="宋体" w:hAnsi="宋体" w:eastAsia="宋体" w:cs="宋体"/>
          <w:sz w:val="21"/>
          <w:szCs w:val="21"/>
          <w:lang w:val="en-US" w:eastAsia="zh-CN"/>
        </w:rPr>
        <w:t>发包</w:t>
      </w:r>
      <w:r>
        <w:rPr>
          <w:rFonts w:hint="eastAsia" w:ascii="宋体" w:hAnsi="宋体" w:eastAsia="宋体" w:cs="宋体"/>
          <w:sz w:val="21"/>
          <w:szCs w:val="21"/>
        </w:rPr>
        <w:t>条件，现对本标段施工进行</w:t>
      </w:r>
      <w:r>
        <w:rPr>
          <w:rFonts w:hint="eastAsia" w:ascii="宋体" w:hAnsi="宋体" w:eastAsia="宋体" w:cs="宋体"/>
          <w:sz w:val="21"/>
          <w:szCs w:val="21"/>
          <w:lang w:val="en-US" w:eastAsia="zh-CN"/>
        </w:rPr>
        <w:t>发包</w:t>
      </w:r>
      <w:r>
        <w:rPr>
          <w:rFonts w:hint="eastAsia" w:ascii="宋体" w:hAnsi="宋体" w:eastAsia="宋体" w:cs="宋体"/>
          <w:sz w:val="21"/>
          <w:szCs w:val="21"/>
        </w:rPr>
        <w:t>。</w:t>
      </w:r>
    </w:p>
    <w:p w14:paraId="6CDDCCF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1.1.2 本</w:t>
      </w:r>
      <w:r>
        <w:rPr>
          <w:rFonts w:hint="eastAsia" w:ascii="宋体" w:hAnsi="宋体" w:cs="宋体"/>
          <w:sz w:val="21"/>
          <w:szCs w:val="21"/>
          <w:lang w:eastAsia="zh-CN"/>
        </w:rPr>
        <w:t>发包</w:t>
      </w:r>
      <w:r>
        <w:rPr>
          <w:rFonts w:hint="eastAsia" w:ascii="宋体" w:hAnsi="宋体" w:eastAsia="宋体" w:cs="宋体"/>
          <w:sz w:val="21"/>
          <w:szCs w:val="21"/>
        </w:rPr>
        <w:t>项目</w:t>
      </w:r>
      <w:r>
        <w:rPr>
          <w:rFonts w:hint="eastAsia" w:ascii="宋体" w:hAnsi="宋体" w:eastAsia="宋体" w:cs="宋体"/>
          <w:sz w:val="21"/>
          <w:szCs w:val="21"/>
          <w:lang w:eastAsia="zh-CN"/>
        </w:rPr>
        <w:t>发包人</w:t>
      </w:r>
      <w:r>
        <w:rPr>
          <w:rFonts w:hint="eastAsia" w:ascii="宋体" w:hAnsi="宋体" w:eastAsia="宋体" w:cs="宋体"/>
          <w:sz w:val="21"/>
          <w:szCs w:val="21"/>
        </w:rPr>
        <w:t>：见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01DE826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1.1.3 本标段</w:t>
      </w:r>
      <w:r>
        <w:rPr>
          <w:rFonts w:hint="eastAsia" w:ascii="宋体" w:hAnsi="宋体" w:cs="宋体"/>
          <w:sz w:val="21"/>
          <w:szCs w:val="21"/>
          <w:lang w:eastAsia="zh-CN"/>
        </w:rPr>
        <w:t>中介代理机构</w:t>
      </w:r>
      <w:r>
        <w:rPr>
          <w:rFonts w:hint="eastAsia" w:ascii="宋体" w:hAnsi="宋体" w:eastAsia="宋体" w:cs="宋体"/>
          <w:sz w:val="21"/>
          <w:szCs w:val="21"/>
        </w:rPr>
        <w:t>：见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3C6D788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1.1.4 本</w:t>
      </w:r>
      <w:r>
        <w:rPr>
          <w:rFonts w:hint="eastAsia" w:ascii="宋体" w:hAnsi="宋体" w:eastAsia="宋体" w:cs="宋体"/>
          <w:sz w:val="21"/>
          <w:szCs w:val="21"/>
          <w:lang w:val="en-US" w:eastAsia="zh-CN"/>
        </w:rPr>
        <w:t>发包</w:t>
      </w:r>
      <w:r>
        <w:rPr>
          <w:rFonts w:hint="eastAsia" w:ascii="宋体" w:hAnsi="宋体" w:eastAsia="宋体" w:cs="宋体"/>
          <w:sz w:val="21"/>
          <w:szCs w:val="21"/>
        </w:rPr>
        <w:t>项目名称：见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78A185F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1.1.5 本标段建设地点：见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587BF062">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06" w:name="_Toc452457635"/>
      <w:r>
        <w:rPr>
          <w:rFonts w:hint="eastAsia" w:ascii="宋体" w:hAnsi="宋体" w:eastAsia="宋体" w:cs="宋体"/>
          <w:sz w:val="21"/>
          <w:szCs w:val="21"/>
        </w:rPr>
        <w:t xml:space="preserve">1.2 </w:t>
      </w:r>
      <w:r>
        <w:rPr>
          <w:rFonts w:hint="eastAsia" w:ascii="宋体" w:hAnsi="宋体" w:eastAsia="宋体" w:cs="宋体"/>
          <w:sz w:val="21"/>
          <w:szCs w:val="21"/>
          <w:lang w:val="en-US" w:eastAsia="zh-CN"/>
        </w:rPr>
        <w:t>发包</w:t>
      </w:r>
      <w:r>
        <w:rPr>
          <w:rFonts w:hint="eastAsia" w:ascii="宋体" w:hAnsi="宋体" w:eastAsia="宋体" w:cs="宋体"/>
          <w:sz w:val="21"/>
          <w:szCs w:val="21"/>
        </w:rPr>
        <w:t>项目的资金来源和落实情况</w:t>
      </w:r>
      <w:bookmarkEnd w:id="106"/>
    </w:p>
    <w:p w14:paraId="2E73234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1.2.1资金来源及比例：见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0887F2C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1.2.2资金落实情况：见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488C828F">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07" w:name="_Toc452457636"/>
      <w:r>
        <w:rPr>
          <w:rFonts w:hint="eastAsia" w:ascii="宋体" w:hAnsi="宋体" w:eastAsia="宋体" w:cs="宋体"/>
          <w:sz w:val="21"/>
          <w:szCs w:val="21"/>
        </w:rPr>
        <w:t xml:space="preserve">1.3 </w:t>
      </w:r>
      <w:r>
        <w:rPr>
          <w:rFonts w:hint="eastAsia" w:ascii="宋体" w:hAnsi="宋体" w:eastAsia="宋体" w:cs="宋体"/>
          <w:sz w:val="21"/>
          <w:szCs w:val="21"/>
          <w:lang w:val="en-US" w:eastAsia="zh-CN"/>
        </w:rPr>
        <w:t>发包</w:t>
      </w:r>
      <w:r>
        <w:rPr>
          <w:rFonts w:hint="eastAsia" w:ascii="宋体" w:hAnsi="宋体" w:eastAsia="宋体" w:cs="宋体"/>
          <w:sz w:val="21"/>
          <w:szCs w:val="21"/>
        </w:rPr>
        <w:t>范围、计划工期、质量要求</w:t>
      </w:r>
      <w:bookmarkEnd w:id="107"/>
      <w:r>
        <w:rPr>
          <w:rFonts w:hint="eastAsia" w:ascii="宋体" w:hAnsi="宋体" w:eastAsia="宋体" w:cs="宋体"/>
          <w:sz w:val="21"/>
          <w:szCs w:val="21"/>
        </w:rPr>
        <w:t>和安全目标</w:t>
      </w:r>
    </w:p>
    <w:p w14:paraId="78EBCBD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1.3.1 </w:t>
      </w:r>
      <w:r>
        <w:rPr>
          <w:rFonts w:hint="eastAsia" w:ascii="宋体" w:hAnsi="宋体" w:eastAsia="宋体" w:cs="宋体"/>
          <w:sz w:val="21"/>
          <w:szCs w:val="21"/>
          <w:lang w:val="en-US" w:eastAsia="zh-CN"/>
        </w:rPr>
        <w:t>发包</w:t>
      </w:r>
      <w:r>
        <w:rPr>
          <w:rFonts w:hint="eastAsia" w:ascii="宋体" w:hAnsi="宋体" w:eastAsia="宋体" w:cs="宋体"/>
          <w:sz w:val="21"/>
          <w:szCs w:val="21"/>
        </w:rPr>
        <w:t>范围：见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6A005F0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1.3.2 本标段的计划工期：见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4BBE60B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1.3.3 本标段的质量要求：见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5048F1A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1.3.4 本标段的安全目标：见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5FB87BC4">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08" w:name="_Toc452457638"/>
      <w:r>
        <w:rPr>
          <w:rFonts w:hint="eastAsia" w:ascii="宋体" w:hAnsi="宋体" w:eastAsia="宋体" w:cs="宋体"/>
          <w:sz w:val="21"/>
          <w:szCs w:val="21"/>
        </w:rPr>
        <w:t xml:space="preserve">1.4 </w:t>
      </w:r>
      <w:r>
        <w:rPr>
          <w:rFonts w:hint="eastAsia" w:ascii="宋体" w:hAnsi="宋体" w:eastAsia="宋体" w:cs="宋体"/>
          <w:sz w:val="21"/>
          <w:szCs w:val="21"/>
          <w:lang w:eastAsia="zh-CN"/>
        </w:rPr>
        <w:t>竞包人</w:t>
      </w:r>
      <w:r>
        <w:rPr>
          <w:rFonts w:hint="eastAsia" w:ascii="宋体" w:hAnsi="宋体" w:eastAsia="宋体" w:cs="宋体"/>
          <w:sz w:val="21"/>
          <w:szCs w:val="21"/>
        </w:rPr>
        <w:t>资格要求</w:t>
      </w:r>
      <w:bookmarkEnd w:id="108"/>
    </w:p>
    <w:p w14:paraId="0CA04E10">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竞包人</w:t>
      </w:r>
      <w:r>
        <w:rPr>
          <w:rFonts w:hint="eastAsia" w:ascii="宋体" w:hAnsi="宋体" w:eastAsia="宋体" w:cs="宋体"/>
          <w:sz w:val="21"/>
          <w:szCs w:val="21"/>
        </w:rPr>
        <w:t>应具备承担本标段施工的资质条件、能力和信誉。</w:t>
      </w:r>
    </w:p>
    <w:p w14:paraId="5C0EAF3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（1）资质要求：见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7907EF1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）项目经理资格：见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075DB3B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）其他要求：见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255CAB2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1.4.2 </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须知前附表规定接受联合体</w:t>
      </w:r>
      <w:r>
        <w:rPr>
          <w:rFonts w:hint="eastAsia" w:ascii="宋体" w:hAnsi="宋体" w:eastAsia="宋体" w:cs="宋体"/>
          <w:sz w:val="21"/>
          <w:szCs w:val="21"/>
          <w:lang w:val="en-US" w:eastAsia="zh-CN"/>
        </w:rPr>
        <w:t>竞包</w:t>
      </w:r>
      <w:r>
        <w:rPr>
          <w:rFonts w:hint="eastAsia" w:ascii="宋体" w:hAnsi="宋体" w:eastAsia="宋体" w:cs="宋体"/>
          <w:sz w:val="21"/>
          <w:szCs w:val="21"/>
        </w:rPr>
        <w:t>的，联合体除应符合本章第 1.4.1 项和</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须知前附表的要求外，还应遵守以下规定：</w:t>
      </w:r>
    </w:p>
    <w:p w14:paraId="32E4DE6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（1）联合体各方应按</w:t>
      </w:r>
      <w:r>
        <w:rPr>
          <w:rFonts w:hint="eastAsia" w:ascii="宋体" w:hAnsi="宋体" w:eastAsia="宋体" w:cs="宋体"/>
          <w:sz w:val="21"/>
          <w:szCs w:val="21"/>
          <w:lang w:eastAsia="zh-CN"/>
        </w:rPr>
        <w:t>发包文件</w:t>
      </w:r>
      <w:r>
        <w:rPr>
          <w:rFonts w:hint="eastAsia" w:ascii="宋体" w:hAnsi="宋体" w:eastAsia="宋体" w:cs="宋体"/>
          <w:sz w:val="21"/>
          <w:szCs w:val="21"/>
        </w:rPr>
        <w:t>提供的格式签订联合体协议书，明确联合体牵头人和各方权利义务，并承诺就</w:t>
      </w:r>
      <w:r>
        <w:rPr>
          <w:rFonts w:hint="eastAsia" w:ascii="宋体" w:hAnsi="宋体" w:cs="宋体"/>
          <w:sz w:val="21"/>
          <w:szCs w:val="21"/>
          <w:lang w:val="en-US" w:eastAsia="zh-CN"/>
        </w:rPr>
        <w:t>承包</w:t>
      </w:r>
      <w:r>
        <w:rPr>
          <w:rFonts w:hint="eastAsia" w:ascii="宋体" w:hAnsi="宋体" w:eastAsia="宋体" w:cs="宋体"/>
          <w:sz w:val="21"/>
          <w:szCs w:val="21"/>
        </w:rPr>
        <w:t>项目向</w:t>
      </w:r>
      <w:r>
        <w:rPr>
          <w:rFonts w:hint="eastAsia" w:ascii="宋体" w:hAnsi="宋体" w:eastAsia="宋体" w:cs="宋体"/>
          <w:sz w:val="21"/>
          <w:szCs w:val="21"/>
          <w:lang w:eastAsia="zh-CN"/>
        </w:rPr>
        <w:t>发包人</w:t>
      </w:r>
      <w:r>
        <w:rPr>
          <w:rFonts w:hint="eastAsia" w:ascii="宋体" w:hAnsi="宋体" w:eastAsia="宋体" w:cs="宋体"/>
          <w:sz w:val="21"/>
          <w:szCs w:val="21"/>
        </w:rPr>
        <w:t>承担连带责任；</w:t>
      </w:r>
    </w:p>
    <w:p w14:paraId="61F1A9C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（2）由同一专业的单位组成的联合体，按照资质等级较低的单位确定资质等级；</w:t>
      </w:r>
    </w:p>
    <w:p w14:paraId="3D04E9A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（3）联合体各方不得再以自己名义单独或参加其他联合体在同一标段中</w:t>
      </w:r>
      <w:r>
        <w:rPr>
          <w:rFonts w:hint="eastAsia" w:ascii="宋体" w:hAnsi="宋体" w:eastAsia="宋体" w:cs="宋体"/>
          <w:sz w:val="21"/>
          <w:szCs w:val="21"/>
          <w:lang w:val="en-US" w:eastAsia="zh-CN"/>
        </w:rPr>
        <w:t>竞包</w:t>
      </w:r>
      <w:r>
        <w:rPr>
          <w:rFonts w:hint="eastAsia" w:ascii="宋体" w:hAnsi="宋体" w:eastAsia="宋体" w:cs="宋体"/>
          <w:sz w:val="21"/>
          <w:szCs w:val="21"/>
        </w:rPr>
        <w:t>；</w:t>
      </w:r>
    </w:p>
    <w:p w14:paraId="4CB6F97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（4）联合体各方应分别按照本</w:t>
      </w:r>
      <w:r>
        <w:rPr>
          <w:rFonts w:hint="eastAsia" w:ascii="宋体" w:hAnsi="宋体" w:eastAsia="宋体" w:cs="宋体"/>
          <w:sz w:val="21"/>
          <w:szCs w:val="21"/>
          <w:lang w:eastAsia="zh-CN"/>
        </w:rPr>
        <w:t>发包文件</w:t>
      </w:r>
      <w:r>
        <w:rPr>
          <w:rFonts w:hint="eastAsia" w:ascii="宋体" w:hAnsi="宋体" w:eastAsia="宋体" w:cs="宋体"/>
          <w:sz w:val="21"/>
          <w:szCs w:val="21"/>
        </w:rPr>
        <w:t>的要求，填写</w:t>
      </w:r>
      <w:r>
        <w:rPr>
          <w:rFonts w:hint="eastAsia" w:ascii="宋体" w:hAnsi="宋体" w:eastAsia="宋体" w:cs="宋体"/>
          <w:sz w:val="21"/>
          <w:szCs w:val="21"/>
          <w:lang w:val="en-US" w:eastAsia="zh-CN"/>
        </w:rPr>
        <w:t>竞包</w:t>
      </w:r>
      <w:r>
        <w:rPr>
          <w:rFonts w:hint="eastAsia" w:ascii="宋体" w:hAnsi="宋体" w:eastAsia="宋体" w:cs="宋体"/>
          <w:sz w:val="21"/>
          <w:szCs w:val="21"/>
        </w:rPr>
        <w:t>文件中的相应表格，并由联合体牵头人负责对联合体各成员的资料进行统一汇总后一并提交给</w:t>
      </w:r>
      <w:r>
        <w:rPr>
          <w:rFonts w:hint="eastAsia" w:ascii="宋体" w:hAnsi="宋体" w:eastAsia="宋体" w:cs="宋体"/>
          <w:sz w:val="21"/>
          <w:szCs w:val="21"/>
          <w:lang w:eastAsia="zh-CN"/>
        </w:rPr>
        <w:t>发包人</w:t>
      </w:r>
      <w:r>
        <w:rPr>
          <w:rFonts w:hint="eastAsia" w:ascii="宋体" w:hAnsi="宋体" w:eastAsia="宋体" w:cs="宋体"/>
          <w:sz w:val="21"/>
          <w:szCs w:val="21"/>
        </w:rPr>
        <w:t>；联合体牵头人所提交的</w:t>
      </w:r>
      <w:r>
        <w:rPr>
          <w:rFonts w:hint="eastAsia" w:ascii="宋体" w:hAnsi="宋体" w:eastAsia="宋体" w:cs="宋体"/>
          <w:sz w:val="21"/>
          <w:szCs w:val="21"/>
          <w:lang w:val="en-US" w:eastAsia="zh-CN"/>
        </w:rPr>
        <w:t>竞包</w:t>
      </w:r>
      <w:r>
        <w:rPr>
          <w:rFonts w:hint="eastAsia" w:ascii="宋体" w:hAnsi="宋体" w:eastAsia="宋体" w:cs="宋体"/>
          <w:sz w:val="21"/>
          <w:szCs w:val="21"/>
        </w:rPr>
        <w:t>文件应认为已代表了联合体各成员的真实情况；</w:t>
      </w:r>
    </w:p>
    <w:p w14:paraId="6CF539C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（5）尽管委任了联合体牵头人，但联合体各成员在</w:t>
      </w:r>
      <w:r>
        <w:rPr>
          <w:rFonts w:hint="eastAsia" w:ascii="宋体" w:hAnsi="宋体" w:eastAsia="宋体" w:cs="宋体"/>
          <w:sz w:val="21"/>
          <w:szCs w:val="21"/>
          <w:lang w:val="en-US" w:eastAsia="zh-CN"/>
        </w:rPr>
        <w:t>竞包</w:t>
      </w:r>
      <w:r>
        <w:rPr>
          <w:rFonts w:hint="eastAsia" w:ascii="宋体" w:hAnsi="宋体" w:eastAsia="宋体" w:cs="宋体"/>
          <w:sz w:val="21"/>
          <w:szCs w:val="21"/>
        </w:rPr>
        <w:t xml:space="preserve">、签订合同与履行合同过程中，仍负有连带的和各自的法律责任。 </w:t>
      </w:r>
    </w:p>
    <w:p w14:paraId="2B1F951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1.4.3 </w:t>
      </w:r>
      <w:r>
        <w:rPr>
          <w:rFonts w:hint="eastAsia" w:ascii="宋体" w:hAnsi="宋体" w:eastAsia="宋体" w:cs="宋体"/>
          <w:sz w:val="21"/>
          <w:szCs w:val="21"/>
          <w:lang w:eastAsia="zh-CN"/>
        </w:rPr>
        <w:t>竞包人</w:t>
      </w:r>
      <w:r>
        <w:rPr>
          <w:rFonts w:hint="eastAsia" w:ascii="宋体" w:hAnsi="宋体" w:eastAsia="宋体" w:cs="宋体"/>
          <w:sz w:val="21"/>
          <w:szCs w:val="21"/>
        </w:rPr>
        <w:t>（包括联合体各成员）不得与本标段相关单位存在下列关联情形：</w:t>
      </w:r>
    </w:p>
    <w:p w14:paraId="18A721FE">
      <w:pPr>
        <w:wordWrap w:val="0"/>
        <w:topLinePunct/>
        <w:autoSpaceDE/>
        <w:spacing w:line="360" w:lineRule="auto"/>
        <w:ind w:firstLine="420" w:firstLineChars="200"/>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1</w:t>
      </w:r>
      <w:r>
        <w:rPr>
          <w:rFonts w:hint="eastAsia" w:ascii="宋体" w:hAnsi="宋体" w:cs="宋体"/>
          <w:highlight w:val="none"/>
        </w:rPr>
        <w:t>）不同竞包人的单位负责人为同一人或者互相存在控股、管理关系的；</w:t>
      </w:r>
    </w:p>
    <w:p w14:paraId="09518ADF">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highlight w:val="none"/>
        </w:rPr>
        <w:t>（</w:t>
      </w:r>
      <w:r>
        <w:rPr>
          <w:rFonts w:hint="eastAsia" w:ascii="宋体" w:hAnsi="宋体" w:cs="宋体"/>
          <w:color w:val="FF0000"/>
          <w:highlight w:val="none"/>
          <w:lang w:val="en-US" w:eastAsia="zh-CN"/>
        </w:rPr>
        <w:t>2</w:t>
      </w:r>
      <w:r>
        <w:rPr>
          <w:rFonts w:hint="eastAsia" w:ascii="宋体" w:hAnsi="宋体" w:cs="宋体"/>
          <w:color w:val="FF0000"/>
          <w:highlight w:val="none"/>
        </w:rPr>
        <w:t>）为本标段前期准备提供设计或咨询服务的；</w:t>
      </w:r>
    </w:p>
    <w:p w14:paraId="2FE5E471">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3</w:t>
      </w:r>
      <w:r>
        <w:rPr>
          <w:rFonts w:hint="eastAsia" w:ascii="宋体" w:hAnsi="宋体" w:cs="宋体"/>
          <w:color w:val="FF0000"/>
          <w:highlight w:val="none"/>
        </w:rPr>
        <w:t>）为本标段的监理人；</w:t>
      </w:r>
    </w:p>
    <w:p w14:paraId="1F2B7E58">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4</w:t>
      </w:r>
      <w:r>
        <w:rPr>
          <w:rFonts w:hint="eastAsia" w:ascii="宋体" w:hAnsi="宋体" w:cs="宋体"/>
          <w:color w:val="FF0000"/>
          <w:highlight w:val="none"/>
        </w:rPr>
        <w:t>）为本标段的代建人；</w:t>
      </w:r>
    </w:p>
    <w:p w14:paraId="1BCBD007">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5</w:t>
      </w:r>
      <w:r>
        <w:rPr>
          <w:rFonts w:hint="eastAsia" w:ascii="宋体" w:hAnsi="宋体" w:cs="宋体"/>
          <w:color w:val="FF0000"/>
          <w:highlight w:val="none"/>
        </w:rPr>
        <w:t>）为本标段提供发包代理服务的；</w:t>
      </w:r>
    </w:p>
    <w:p w14:paraId="3BA1C2D1">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6</w:t>
      </w:r>
      <w:r>
        <w:rPr>
          <w:rFonts w:hint="eastAsia" w:ascii="宋体" w:hAnsi="宋体" w:cs="宋体"/>
          <w:color w:val="FF0000"/>
          <w:highlight w:val="none"/>
        </w:rPr>
        <w:t>）与本标段的监理人或代建人或发包代理机构同为一个法定代表人的；</w:t>
      </w:r>
    </w:p>
    <w:p w14:paraId="725D914D">
      <w:pPr>
        <w:wordWrap w:val="0"/>
        <w:topLinePunct/>
        <w:autoSpaceDE/>
        <w:spacing w:line="360" w:lineRule="auto"/>
        <w:ind w:firstLine="420" w:firstLineChars="200"/>
        <w:rPr>
          <w:rFonts w:hint="eastAsia" w:ascii="宋体" w:hAnsi="宋体" w:cs="宋体"/>
          <w:color w:val="FF0000"/>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7</w:t>
      </w:r>
      <w:r>
        <w:rPr>
          <w:rFonts w:hint="eastAsia" w:ascii="宋体" w:hAnsi="宋体" w:cs="宋体"/>
          <w:color w:val="FF0000"/>
          <w:highlight w:val="none"/>
        </w:rPr>
        <w:t>）与本标段的监理人或代建人或发包代理机构相互控股或参股的；</w:t>
      </w:r>
    </w:p>
    <w:p w14:paraId="3007D38F">
      <w:pPr>
        <w:wordWrap w:val="0"/>
        <w:topLinePunct/>
        <w:autoSpaceDE/>
        <w:spacing w:line="360" w:lineRule="auto"/>
        <w:ind w:firstLine="420" w:firstLineChars="200"/>
        <w:rPr>
          <w:rFonts w:hint="eastAsia" w:ascii="宋体" w:hAnsi="宋体" w:cs="宋体"/>
          <w:highlight w:val="none"/>
        </w:rPr>
      </w:pPr>
      <w:r>
        <w:rPr>
          <w:rFonts w:hint="eastAsia" w:ascii="宋体" w:hAnsi="宋体" w:cs="宋体"/>
          <w:color w:val="FF0000"/>
          <w:highlight w:val="none"/>
        </w:rPr>
        <w:t>（</w:t>
      </w:r>
      <w:r>
        <w:rPr>
          <w:rFonts w:hint="eastAsia" w:ascii="宋体" w:hAnsi="宋体" w:cs="宋体"/>
          <w:color w:val="FF0000"/>
          <w:highlight w:val="none"/>
          <w:lang w:val="en-US" w:eastAsia="zh-CN"/>
        </w:rPr>
        <w:t>8</w:t>
      </w:r>
      <w:r>
        <w:rPr>
          <w:rFonts w:hint="eastAsia" w:ascii="宋体" w:hAnsi="宋体" w:cs="宋体"/>
          <w:color w:val="FF0000"/>
          <w:highlight w:val="none"/>
        </w:rPr>
        <w:t>）与本标段</w:t>
      </w:r>
      <w:r>
        <w:rPr>
          <w:rFonts w:hint="eastAsia" w:ascii="宋体" w:hAnsi="宋体" w:cs="宋体"/>
          <w:highlight w:val="none"/>
        </w:rPr>
        <w:t>的监理人或代建人或发包代理机构相互任职或工作的；</w:t>
      </w:r>
    </w:p>
    <w:p w14:paraId="506F7924">
      <w:pPr>
        <w:wordWrap w:val="0"/>
        <w:topLinePunct/>
        <w:autoSpaceDE/>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（9）与本标段的监理人或代建人或</w:t>
      </w:r>
      <w:r>
        <w:rPr>
          <w:rFonts w:hint="eastAsia" w:ascii="宋体" w:hAnsi="宋体" w:cs="宋体"/>
          <w:sz w:val="21"/>
          <w:szCs w:val="21"/>
          <w:lang w:eastAsia="zh-CN"/>
        </w:rPr>
        <w:t>中介代理机构</w:t>
      </w:r>
      <w:r>
        <w:rPr>
          <w:rFonts w:hint="eastAsia" w:ascii="宋体" w:hAnsi="宋体" w:eastAsia="宋体" w:cs="宋体"/>
          <w:sz w:val="21"/>
          <w:szCs w:val="21"/>
        </w:rPr>
        <w:t>同为一个法定代表人；</w:t>
      </w:r>
    </w:p>
    <w:p w14:paraId="06E9F8C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（10）与本标段的监理人或代建人或</w:t>
      </w:r>
      <w:r>
        <w:rPr>
          <w:rFonts w:hint="eastAsia" w:ascii="宋体" w:hAnsi="宋体" w:cs="宋体"/>
          <w:sz w:val="21"/>
          <w:szCs w:val="21"/>
          <w:lang w:eastAsia="zh-CN"/>
        </w:rPr>
        <w:t>中介代理机构</w:t>
      </w:r>
      <w:r>
        <w:rPr>
          <w:rFonts w:hint="eastAsia" w:ascii="宋体" w:hAnsi="宋体" w:eastAsia="宋体" w:cs="宋体"/>
          <w:sz w:val="21"/>
          <w:szCs w:val="21"/>
        </w:rPr>
        <w:t>存在控股或参股关系；</w:t>
      </w:r>
    </w:p>
    <w:p w14:paraId="6ABE290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（11）法律法规或</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须知前附表规定的其他情形。</w:t>
      </w:r>
    </w:p>
    <w:p w14:paraId="1C0438A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1.4.4 </w:t>
      </w:r>
      <w:r>
        <w:rPr>
          <w:rFonts w:hint="eastAsia" w:ascii="宋体" w:hAnsi="宋体" w:eastAsia="宋体" w:cs="宋体"/>
          <w:sz w:val="21"/>
          <w:szCs w:val="21"/>
          <w:lang w:eastAsia="zh-CN"/>
        </w:rPr>
        <w:t>竞包人</w:t>
      </w:r>
      <w:r>
        <w:rPr>
          <w:rFonts w:hint="eastAsia" w:ascii="宋体" w:hAnsi="宋体" w:eastAsia="宋体" w:cs="宋体"/>
          <w:sz w:val="21"/>
          <w:szCs w:val="21"/>
        </w:rPr>
        <w:t>（包括联合体各成员）不得存在下列不良状况或不良信用记录：</w:t>
      </w:r>
    </w:p>
    <w:p w14:paraId="70683CBF">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（1）被交通运输部、浙江省交通运输厅、浙江省发展和改革委员会取消</w:t>
      </w:r>
      <w:r>
        <w:rPr>
          <w:rFonts w:hint="eastAsia" w:ascii="宋体" w:hAnsi="宋体" w:eastAsia="宋体" w:cs="宋体"/>
          <w:sz w:val="21"/>
          <w:szCs w:val="21"/>
          <w:lang w:val="en-US" w:eastAsia="zh-CN"/>
        </w:rPr>
        <w:t>竞包</w:t>
      </w:r>
      <w:r>
        <w:rPr>
          <w:rFonts w:hint="eastAsia" w:ascii="宋体" w:hAnsi="宋体" w:eastAsia="宋体" w:cs="宋体"/>
          <w:sz w:val="21"/>
          <w:szCs w:val="21"/>
        </w:rPr>
        <w:t>资格或禁止进入浙江省建设市场且处于有效期内的；</w:t>
      </w:r>
    </w:p>
    <w:p w14:paraId="666F267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（2）被责令停业，暂扣或吊销执照，或吊销资质证书；</w:t>
      </w:r>
    </w:p>
    <w:p w14:paraId="722401D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（3）进入清算程序，或被宣告破产，或其他丧失履约能力的情形；</w:t>
      </w:r>
    </w:p>
    <w:p w14:paraId="1C2B723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（4）在国家企业信用信息公示系统（</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"http://www.gsxt.gov.cn"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http://www.gsxt.gov.cn</w:t>
      </w:r>
      <w:r>
        <w:rPr>
          <w:rFonts w:hint="eastAsia" w:ascii="宋体" w:hAnsi="宋体" w:eastAsia="宋体" w:cs="宋体"/>
          <w:sz w:val="21"/>
          <w:szCs w:val="21"/>
        </w:rPr>
        <w:fldChar w:fldCharType="end"/>
      </w:r>
      <w:r>
        <w:rPr>
          <w:rFonts w:hint="eastAsia" w:ascii="宋体" w:hAnsi="宋体" w:eastAsia="宋体" w:cs="宋体"/>
          <w:sz w:val="21"/>
          <w:szCs w:val="21"/>
        </w:rPr>
        <w:t>）中被列入严重违法失信企业名单；</w:t>
      </w:r>
    </w:p>
    <w:p w14:paraId="3E9B0DD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（5）在“信用中国”网站（http://www.creditchina.gov.cn）中被列入失信被执行人名单；</w:t>
      </w:r>
    </w:p>
    <w:p w14:paraId="1E0421E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竞包人</w:t>
      </w:r>
      <w:r>
        <w:rPr>
          <w:rFonts w:hint="eastAsia" w:ascii="宋体" w:hAnsi="宋体" w:eastAsia="宋体" w:cs="宋体"/>
          <w:sz w:val="21"/>
          <w:szCs w:val="21"/>
        </w:rPr>
        <w:t>或其法定代表人、拟委任的项目经理在</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须知前附表规定日期后有行贿犯罪行为的（行贿犯罪行为的认定以中国裁判文书网（http://wenshu.court.gov.cn/）查询结果为准，</w:t>
      </w:r>
      <w:r>
        <w:rPr>
          <w:rFonts w:hint="eastAsia" w:ascii="宋体" w:hAnsi="宋体" w:eastAsia="宋体" w:cs="宋体"/>
          <w:sz w:val="21"/>
          <w:szCs w:val="21"/>
          <w:lang w:val="en-US" w:eastAsia="zh-CN"/>
        </w:rPr>
        <w:t>竞包</w:t>
      </w:r>
      <w:r>
        <w:rPr>
          <w:rFonts w:hint="eastAsia" w:ascii="宋体" w:hAnsi="宋体" w:eastAsia="宋体" w:cs="宋体"/>
          <w:sz w:val="21"/>
          <w:szCs w:val="21"/>
        </w:rPr>
        <w:t>文件中无需提供查询结果）；</w:t>
      </w:r>
    </w:p>
    <w:p w14:paraId="69DB312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（7）法律法规或</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须知前附表规定的其他情形。</w:t>
      </w:r>
    </w:p>
    <w:p w14:paraId="587E341A">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1.4.5 具有公路工程施工总承包特级、一级资质及交通工程专业承包资质的</w:t>
      </w:r>
      <w:r>
        <w:rPr>
          <w:rFonts w:hint="eastAsia" w:ascii="宋体" w:hAnsi="宋体" w:eastAsia="宋体" w:cs="宋体"/>
          <w:sz w:val="21"/>
          <w:szCs w:val="21"/>
          <w:lang w:eastAsia="zh-CN"/>
        </w:rPr>
        <w:t>竞包人</w:t>
      </w:r>
      <w:r>
        <w:rPr>
          <w:rFonts w:hint="eastAsia" w:ascii="宋体" w:hAnsi="宋体" w:eastAsia="宋体" w:cs="宋体"/>
          <w:sz w:val="21"/>
          <w:szCs w:val="21"/>
        </w:rPr>
        <w:t>（包括联合体各成员）应进入交通运输部“全国公路建设市场信用信息管理系统（https://glxy.mot.gov.cn）”中的公路工程施工资质企业名录，且</w:t>
      </w:r>
      <w:r>
        <w:rPr>
          <w:rFonts w:hint="eastAsia" w:ascii="宋体" w:hAnsi="宋体" w:eastAsia="宋体" w:cs="宋体"/>
          <w:sz w:val="21"/>
          <w:szCs w:val="21"/>
          <w:lang w:eastAsia="zh-CN"/>
        </w:rPr>
        <w:t>竞包人</w:t>
      </w:r>
      <w:r>
        <w:rPr>
          <w:rFonts w:hint="eastAsia" w:ascii="宋体" w:hAnsi="宋体" w:eastAsia="宋体" w:cs="宋体"/>
          <w:sz w:val="21"/>
          <w:szCs w:val="21"/>
        </w:rPr>
        <w:t>名称和资质与该名录中的相应企业名称和资质完全一致。</w:t>
      </w:r>
      <w:r>
        <w:rPr>
          <w:rFonts w:hint="eastAsia" w:ascii="宋体" w:hAnsi="宋体" w:eastAsia="宋体" w:cs="宋体"/>
          <w:sz w:val="21"/>
          <w:szCs w:val="21"/>
          <w:lang w:eastAsia="zh-CN"/>
        </w:rPr>
        <w:t>竞包人</w:t>
      </w:r>
      <w:r>
        <w:rPr>
          <w:rFonts w:hint="eastAsia" w:ascii="宋体" w:hAnsi="宋体" w:eastAsia="宋体" w:cs="宋体"/>
          <w:sz w:val="21"/>
          <w:szCs w:val="21"/>
        </w:rPr>
        <w:t>不满足本项规定条件的，将被否决</w:t>
      </w:r>
      <w:r>
        <w:rPr>
          <w:rFonts w:hint="eastAsia" w:ascii="宋体" w:hAnsi="宋体" w:eastAsia="宋体" w:cs="宋体"/>
          <w:sz w:val="21"/>
          <w:szCs w:val="21"/>
          <w:lang w:val="en-US" w:eastAsia="zh-CN"/>
        </w:rPr>
        <w:t>竞包</w:t>
      </w:r>
      <w:r>
        <w:rPr>
          <w:rFonts w:hint="eastAsia" w:ascii="宋体" w:hAnsi="宋体" w:eastAsia="宋体" w:cs="宋体"/>
          <w:sz w:val="21"/>
          <w:szCs w:val="21"/>
        </w:rPr>
        <w:t>。</w:t>
      </w:r>
    </w:p>
    <w:p w14:paraId="0EFED0AF">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09" w:name="_Toc452457639"/>
      <w:r>
        <w:rPr>
          <w:rFonts w:hint="eastAsia" w:ascii="宋体" w:hAnsi="宋体" w:eastAsia="宋体" w:cs="宋体"/>
          <w:sz w:val="21"/>
          <w:szCs w:val="21"/>
        </w:rPr>
        <w:t>1.5 费用承担</w:t>
      </w:r>
      <w:bookmarkEnd w:id="109"/>
    </w:p>
    <w:p w14:paraId="3DA2CCD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竞包人</w:t>
      </w:r>
      <w:r>
        <w:rPr>
          <w:rFonts w:hint="eastAsia" w:ascii="宋体" w:hAnsi="宋体" w:eastAsia="宋体" w:cs="宋体"/>
          <w:sz w:val="21"/>
          <w:szCs w:val="21"/>
        </w:rPr>
        <w:t>准备和参加</w:t>
      </w:r>
      <w:r>
        <w:rPr>
          <w:rFonts w:hint="eastAsia" w:ascii="宋体" w:hAnsi="宋体" w:eastAsia="宋体" w:cs="宋体"/>
          <w:sz w:val="21"/>
          <w:szCs w:val="21"/>
          <w:lang w:val="en-US" w:eastAsia="zh-CN"/>
        </w:rPr>
        <w:t>竞包</w:t>
      </w:r>
      <w:r>
        <w:rPr>
          <w:rFonts w:hint="eastAsia" w:ascii="宋体" w:hAnsi="宋体" w:eastAsia="宋体" w:cs="宋体"/>
          <w:sz w:val="21"/>
          <w:szCs w:val="21"/>
        </w:rPr>
        <w:t>活动发生的费用自理。</w:t>
      </w:r>
    </w:p>
    <w:p w14:paraId="14ADFE53">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0" w:name="_Toc452457640"/>
      <w:r>
        <w:rPr>
          <w:rFonts w:hint="eastAsia" w:ascii="宋体" w:hAnsi="宋体" w:eastAsia="宋体" w:cs="宋体"/>
          <w:sz w:val="21"/>
          <w:szCs w:val="21"/>
        </w:rPr>
        <w:t>1.6 保密</w:t>
      </w:r>
      <w:bookmarkEnd w:id="110"/>
    </w:p>
    <w:p w14:paraId="42C54518">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参与</w:t>
      </w:r>
      <w:r>
        <w:rPr>
          <w:rFonts w:hint="eastAsia" w:ascii="宋体" w:hAnsi="宋体" w:eastAsia="宋体" w:cs="宋体"/>
          <w:sz w:val="21"/>
          <w:szCs w:val="21"/>
          <w:lang w:val="en-US" w:eastAsia="zh-CN"/>
        </w:rPr>
        <w:t>竞包</w:t>
      </w:r>
      <w:r>
        <w:rPr>
          <w:rFonts w:hint="eastAsia" w:ascii="宋体" w:hAnsi="宋体" w:eastAsia="宋体" w:cs="宋体"/>
          <w:sz w:val="21"/>
          <w:szCs w:val="21"/>
        </w:rPr>
        <w:t>活动的各方应对</w:t>
      </w:r>
      <w:r>
        <w:rPr>
          <w:rFonts w:hint="eastAsia" w:ascii="宋体" w:hAnsi="宋体" w:eastAsia="宋体" w:cs="宋体"/>
          <w:sz w:val="21"/>
          <w:szCs w:val="21"/>
          <w:lang w:eastAsia="zh-CN"/>
        </w:rPr>
        <w:t>发包文件</w:t>
      </w:r>
      <w:r>
        <w:rPr>
          <w:rFonts w:hint="eastAsia" w:ascii="宋体" w:hAnsi="宋体" w:eastAsia="宋体" w:cs="宋体"/>
          <w:sz w:val="21"/>
          <w:szCs w:val="21"/>
        </w:rPr>
        <w:t>和</w:t>
      </w:r>
      <w:r>
        <w:rPr>
          <w:rFonts w:hint="eastAsia" w:ascii="宋体" w:hAnsi="宋体" w:eastAsia="宋体" w:cs="宋体"/>
          <w:sz w:val="21"/>
          <w:szCs w:val="21"/>
          <w:lang w:val="en-US" w:eastAsia="zh-CN"/>
        </w:rPr>
        <w:t>竞包</w:t>
      </w:r>
      <w:r>
        <w:rPr>
          <w:rFonts w:hint="eastAsia" w:ascii="宋体" w:hAnsi="宋体" w:eastAsia="宋体" w:cs="宋体"/>
          <w:sz w:val="21"/>
          <w:szCs w:val="21"/>
        </w:rPr>
        <w:t xml:space="preserve">文件中的商业和技术等秘密保密，否则应承担相应的法律责任。 </w:t>
      </w:r>
    </w:p>
    <w:p w14:paraId="7410D408">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1" w:name="_Toc452457641"/>
      <w:r>
        <w:rPr>
          <w:rFonts w:hint="eastAsia" w:ascii="宋体" w:hAnsi="宋体" w:eastAsia="宋体" w:cs="宋体"/>
          <w:sz w:val="21"/>
          <w:szCs w:val="21"/>
        </w:rPr>
        <w:t>1.7 语言文字</w:t>
      </w:r>
      <w:bookmarkEnd w:id="111"/>
    </w:p>
    <w:p w14:paraId="4AE719B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竞包</w:t>
      </w:r>
      <w:r>
        <w:rPr>
          <w:rFonts w:hint="eastAsia" w:ascii="宋体" w:hAnsi="宋体" w:eastAsia="宋体" w:cs="宋体"/>
          <w:sz w:val="21"/>
          <w:szCs w:val="21"/>
        </w:rPr>
        <w:t>文件使用的语言文字为中文。专用术语使用外文的，应附有中文注释。</w:t>
      </w:r>
    </w:p>
    <w:p w14:paraId="1EE98046">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2" w:name="_Toc452457642"/>
      <w:r>
        <w:rPr>
          <w:rFonts w:hint="eastAsia" w:ascii="宋体" w:hAnsi="宋体" w:eastAsia="宋体" w:cs="宋体"/>
          <w:sz w:val="21"/>
          <w:szCs w:val="21"/>
        </w:rPr>
        <w:t>1.8 计量单位</w:t>
      </w:r>
      <w:bookmarkEnd w:id="112"/>
    </w:p>
    <w:p w14:paraId="4F13ED5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p w14:paraId="134549F0">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3" w:name="_Toc452457643"/>
      <w:r>
        <w:rPr>
          <w:rFonts w:hint="eastAsia" w:ascii="宋体" w:hAnsi="宋体" w:eastAsia="宋体" w:cs="宋体"/>
          <w:sz w:val="21"/>
          <w:szCs w:val="21"/>
        </w:rPr>
        <w:t>1.9 踏勘现场</w:t>
      </w:r>
      <w:bookmarkEnd w:id="113"/>
    </w:p>
    <w:p w14:paraId="12484C2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1.9.1 第一章“</w:t>
      </w:r>
      <w:r>
        <w:rPr>
          <w:rFonts w:hint="eastAsia" w:ascii="宋体" w:hAnsi="宋体" w:eastAsia="宋体" w:cs="宋体"/>
          <w:sz w:val="21"/>
          <w:szCs w:val="21"/>
          <w:lang w:eastAsia="zh-CN"/>
        </w:rPr>
        <w:t>发包公告</w:t>
      </w:r>
      <w:r>
        <w:rPr>
          <w:rFonts w:hint="eastAsia" w:ascii="宋体" w:hAnsi="宋体" w:eastAsia="宋体" w:cs="宋体"/>
          <w:sz w:val="21"/>
          <w:szCs w:val="21"/>
        </w:rPr>
        <w:t>”</w:t>
      </w:r>
      <w:r>
        <w:rPr>
          <w:rFonts w:hint="eastAsia" w:ascii="宋体" w:hAnsi="宋体" w:eastAsia="宋体" w:cs="宋体"/>
          <w:sz w:val="21"/>
          <w:szCs w:val="21"/>
          <w:lang w:val="en-US" w:eastAsia="zh-CN"/>
        </w:rPr>
        <w:t>或“竞包邀请书”</w:t>
      </w:r>
      <w:r>
        <w:rPr>
          <w:rFonts w:hint="eastAsia" w:ascii="宋体" w:hAnsi="宋体" w:eastAsia="宋体" w:cs="宋体"/>
          <w:sz w:val="21"/>
          <w:szCs w:val="21"/>
        </w:rPr>
        <w:t>规定组织踏勘现场的，</w:t>
      </w:r>
      <w:r>
        <w:rPr>
          <w:rFonts w:hint="eastAsia" w:ascii="宋体" w:hAnsi="宋体" w:eastAsia="宋体" w:cs="宋体"/>
          <w:sz w:val="21"/>
          <w:szCs w:val="21"/>
          <w:lang w:eastAsia="zh-CN"/>
        </w:rPr>
        <w:t>发包人</w:t>
      </w:r>
      <w:r>
        <w:rPr>
          <w:rFonts w:hint="eastAsia" w:ascii="宋体" w:hAnsi="宋体" w:eastAsia="宋体" w:cs="宋体"/>
          <w:sz w:val="21"/>
          <w:szCs w:val="21"/>
        </w:rPr>
        <w:t>按规定的时间、地点组织</w:t>
      </w:r>
      <w:r>
        <w:rPr>
          <w:rFonts w:hint="eastAsia" w:ascii="宋体" w:hAnsi="宋体" w:eastAsia="宋体" w:cs="宋体"/>
          <w:sz w:val="21"/>
          <w:szCs w:val="21"/>
          <w:lang w:eastAsia="zh-CN"/>
        </w:rPr>
        <w:t>竞包人</w:t>
      </w:r>
      <w:r>
        <w:rPr>
          <w:rFonts w:hint="eastAsia" w:ascii="宋体" w:hAnsi="宋体" w:eastAsia="宋体" w:cs="宋体"/>
          <w:sz w:val="21"/>
          <w:szCs w:val="21"/>
        </w:rPr>
        <w:t>踏勘项目现场。部分</w:t>
      </w:r>
      <w:r>
        <w:rPr>
          <w:rFonts w:hint="eastAsia" w:ascii="宋体" w:hAnsi="宋体" w:eastAsia="宋体" w:cs="宋体"/>
          <w:sz w:val="21"/>
          <w:szCs w:val="21"/>
          <w:lang w:eastAsia="zh-CN"/>
        </w:rPr>
        <w:t>竞包人</w:t>
      </w:r>
      <w:r>
        <w:rPr>
          <w:rFonts w:hint="eastAsia" w:ascii="宋体" w:hAnsi="宋体" w:eastAsia="宋体" w:cs="宋体"/>
          <w:sz w:val="21"/>
          <w:szCs w:val="21"/>
        </w:rPr>
        <w:t>未按时参加踏勘现场的，不影响踏勘现场的正常进行。</w:t>
      </w:r>
      <w:r>
        <w:rPr>
          <w:rFonts w:hint="eastAsia" w:ascii="宋体" w:hAnsi="宋体" w:eastAsia="宋体" w:cs="宋体"/>
          <w:sz w:val="21"/>
          <w:szCs w:val="21"/>
          <w:lang w:eastAsia="zh-CN"/>
        </w:rPr>
        <w:t>发包人</w:t>
      </w:r>
      <w:r>
        <w:rPr>
          <w:rFonts w:hint="eastAsia" w:ascii="宋体" w:hAnsi="宋体" w:eastAsia="宋体" w:cs="宋体"/>
          <w:sz w:val="21"/>
          <w:szCs w:val="21"/>
        </w:rPr>
        <w:t>不得组织单个或者部分</w:t>
      </w:r>
      <w:r>
        <w:rPr>
          <w:rFonts w:hint="eastAsia" w:ascii="宋体" w:hAnsi="宋体" w:eastAsia="宋体" w:cs="宋体"/>
          <w:sz w:val="21"/>
          <w:szCs w:val="21"/>
          <w:lang w:eastAsia="zh-CN"/>
        </w:rPr>
        <w:t>竞包人</w:t>
      </w:r>
      <w:r>
        <w:rPr>
          <w:rFonts w:hint="eastAsia" w:ascii="宋体" w:hAnsi="宋体" w:eastAsia="宋体" w:cs="宋体"/>
          <w:sz w:val="21"/>
          <w:szCs w:val="21"/>
        </w:rPr>
        <w:t>踏勘项目现场。</w:t>
      </w:r>
    </w:p>
    <w:p w14:paraId="57C0583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1.9.2 </w:t>
      </w:r>
      <w:r>
        <w:rPr>
          <w:rFonts w:hint="eastAsia" w:ascii="宋体" w:hAnsi="宋体" w:eastAsia="宋体" w:cs="宋体"/>
          <w:sz w:val="21"/>
          <w:szCs w:val="21"/>
          <w:lang w:eastAsia="zh-CN"/>
        </w:rPr>
        <w:t>竞包人</w:t>
      </w:r>
      <w:r>
        <w:rPr>
          <w:rFonts w:hint="eastAsia" w:ascii="宋体" w:hAnsi="宋体" w:eastAsia="宋体" w:cs="宋体"/>
          <w:sz w:val="21"/>
          <w:szCs w:val="21"/>
        </w:rPr>
        <w:t>踏勘现场发生的费用自理。</w:t>
      </w:r>
    </w:p>
    <w:p w14:paraId="4E50B8A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1.9.3 除</w:t>
      </w:r>
      <w:r>
        <w:rPr>
          <w:rFonts w:hint="eastAsia" w:ascii="宋体" w:hAnsi="宋体" w:eastAsia="宋体" w:cs="宋体"/>
          <w:sz w:val="21"/>
          <w:szCs w:val="21"/>
          <w:lang w:eastAsia="zh-CN"/>
        </w:rPr>
        <w:t>发包人</w:t>
      </w:r>
      <w:r>
        <w:rPr>
          <w:rFonts w:hint="eastAsia" w:ascii="宋体" w:hAnsi="宋体" w:eastAsia="宋体" w:cs="宋体"/>
          <w:sz w:val="21"/>
          <w:szCs w:val="21"/>
        </w:rPr>
        <w:t>的原因外，</w:t>
      </w:r>
      <w:r>
        <w:rPr>
          <w:rFonts w:hint="eastAsia" w:ascii="宋体" w:hAnsi="宋体" w:eastAsia="宋体" w:cs="宋体"/>
          <w:sz w:val="21"/>
          <w:szCs w:val="21"/>
          <w:lang w:eastAsia="zh-CN"/>
        </w:rPr>
        <w:t>竞包人</w:t>
      </w:r>
      <w:r>
        <w:rPr>
          <w:rFonts w:hint="eastAsia" w:ascii="宋体" w:hAnsi="宋体" w:eastAsia="宋体" w:cs="宋体"/>
          <w:sz w:val="21"/>
          <w:szCs w:val="21"/>
        </w:rPr>
        <w:t>自行负责在踏勘现场中所发生的人员伤亡和财产损失。</w:t>
      </w:r>
    </w:p>
    <w:p w14:paraId="1184DAE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1.9.4 </w:t>
      </w:r>
      <w:r>
        <w:rPr>
          <w:rFonts w:hint="eastAsia" w:ascii="宋体" w:hAnsi="宋体" w:eastAsia="宋体" w:cs="宋体"/>
          <w:sz w:val="21"/>
          <w:szCs w:val="21"/>
          <w:lang w:eastAsia="zh-CN"/>
        </w:rPr>
        <w:t>发包人</w:t>
      </w:r>
      <w:r>
        <w:rPr>
          <w:rFonts w:hint="eastAsia" w:ascii="宋体" w:hAnsi="宋体" w:eastAsia="宋体" w:cs="宋体"/>
          <w:sz w:val="21"/>
          <w:szCs w:val="21"/>
        </w:rPr>
        <w:t>在踏勘现场中介绍的工程场地和相关的周边环境情况，供</w:t>
      </w:r>
      <w:r>
        <w:rPr>
          <w:rFonts w:hint="eastAsia" w:ascii="宋体" w:hAnsi="宋体" w:eastAsia="宋体" w:cs="宋体"/>
          <w:sz w:val="21"/>
          <w:szCs w:val="21"/>
          <w:lang w:eastAsia="zh-CN"/>
        </w:rPr>
        <w:t>竞包人</w:t>
      </w:r>
      <w:r>
        <w:rPr>
          <w:rFonts w:hint="eastAsia" w:ascii="宋体" w:hAnsi="宋体" w:eastAsia="宋体" w:cs="宋体"/>
          <w:sz w:val="21"/>
          <w:szCs w:val="21"/>
        </w:rPr>
        <w:t>在编制</w:t>
      </w:r>
      <w:r>
        <w:rPr>
          <w:rFonts w:hint="eastAsia" w:ascii="宋体" w:hAnsi="宋体" w:eastAsia="宋体" w:cs="宋体"/>
          <w:sz w:val="21"/>
          <w:szCs w:val="21"/>
          <w:lang w:val="en-US" w:eastAsia="zh-CN"/>
        </w:rPr>
        <w:t>竞包</w:t>
      </w:r>
      <w:r>
        <w:rPr>
          <w:rFonts w:hint="eastAsia" w:ascii="宋体" w:hAnsi="宋体" w:eastAsia="宋体" w:cs="宋体"/>
          <w:sz w:val="21"/>
          <w:szCs w:val="21"/>
        </w:rPr>
        <w:t>文件时参考，</w:t>
      </w:r>
      <w:r>
        <w:rPr>
          <w:rFonts w:hint="eastAsia" w:ascii="宋体" w:hAnsi="宋体" w:eastAsia="宋体" w:cs="宋体"/>
          <w:sz w:val="21"/>
          <w:szCs w:val="21"/>
          <w:lang w:eastAsia="zh-CN"/>
        </w:rPr>
        <w:t>发包人</w:t>
      </w:r>
      <w:r>
        <w:rPr>
          <w:rFonts w:hint="eastAsia" w:ascii="宋体" w:hAnsi="宋体" w:eastAsia="宋体" w:cs="宋体"/>
          <w:sz w:val="21"/>
          <w:szCs w:val="21"/>
        </w:rPr>
        <w:t>不对</w:t>
      </w:r>
      <w:r>
        <w:rPr>
          <w:rFonts w:hint="eastAsia" w:ascii="宋体" w:hAnsi="宋体" w:eastAsia="宋体" w:cs="宋体"/>
          <w:sz w:val="21"/>
          <w:szCs w:val="21"/>
          <w:lang w:eastAsia="zh-CN"/>
        </w:rPr>
        <w:t>竞包人</w:t>
      </w:r>
      <w:r>
        <w:rPr>
          <w:rFonts w:hint="eastAsia" w:ascii="宋体" w:hAnsi="宋体" w:eastAsia="宋体" w:cs="宋体"/>
          <w:sz w:val="21"/>
          <w:szCs w:val="21"/>
        </w:rPr>
        <w:t>据此作出的判断和决策负责。</w:t>
      </w:r>
    </w:p>
    <w:p w14:paraId="4144569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1.9.5</w:t>
      </w:r>
      <w:r>
        <w:rPr>
          <w:rFonts w:hint="eastAsia" w:ascii="宋体" w:hAnsi="宋体" w:eastAsia="宋体" w:cs="宋体"/>
          <w:sz w:val="21"/>
          <w:szCs w:val="21"/>
          <w:lang w:eastAsia="zh-CN"/>
        </w:rPr>
        <w:t>发包人</w:t>
      </w:r>
      <w:r>
        <w:rPr>
          <w:rFonts w:hint="eastAsia" w:ascii="宋体" w:hAnsi="宋体" w:eastAsia="宋体" w:cs="宋体"/>
          <w:sz w:val="21"/>
          <w:szCs w:val="21"/>
        </w:rPr>
        <w:t>提供的本合同工程的水文、地质、气象和料场分布、取土场、弃土场位置等参考资料，并不构成合同文件的组成部分，</w:t>
      </w:r>
      <w:r>
        <w:rPr>
          <w:rFonts w:hint="eastAsia" w:ascii="宋体" w:hAnsi="宋体" w:eastAsia="宋体" w:cs="宋体"/>
          <w:sz w:val="21"/>
          <w:szCs w:val="21"/>
          <w:lang w:eastAsia="zh-CN"/>
        </w:rPr>
        <w:t>竞包人</w:t>
      </w:r>
      <w:r>
        <w:rPr>
          <w:rFonts w:hint="eastAsia" w:ascii="宋体" w:hAnsi="宋体" w:eastAsia="宋体" w:cs="宋体"/>
          <w:sz w:val="21"/>
          <w:szCs w:val="21"/>
        </w:rPr>
        <w:t>应对自己就上述资料的解释、推论和应用负责，</w:t>
      </w:r>
      <w:r>
        <w:rPr>
          <w:rFonts w:hint="eastAsia" w:ascii="宋体" w:hAnsi="宋体" w:eastAsia="宋体" w:cs="宋体"/>
          <w:sz w:val="21"/>
          <w:szCs w:val="21"/>
          <w:lang w:eastAsia="zh-CN"/>
        </w:rPr>
        <w:t>发包人</w:t>
      </w:r>
      <w:r>
        <w:rPr>
          <w:rFonts w:hint="eastAsia" w:ascii="宋体" w:hAnsi="宋体" w:eastAsia="宋体" w:cs="宋体"/>
          <w:sz w:val="21"/>
          <w:szCs w:val="21"/>
        </w:rPr>
        <w:t>不对</w:t>
      </w:r>
      <w:r>
        <w:rPr>
          <w:rFonts w:hint="eastAsia" w:ascii="宋体" w:hAnsi="宋体" w:eastAsia="宋体" w:cs="宋体"/>
          <w:sz w:val="21"/>
          <w:szCs w:val="21"/>
          <w:lang w:eastAsia="zh-CN"/>
        </w:rPr>
        <w:t>竞包人</w:t>
      </w:r>
      <w:r>
        <w:rPr>
          <w:rFonts w:hint="eastAsia" w:ascii="宋体" w:hAnsi="宋体" w:eastAsia="宋体" w:cs="宋体"/>
          <w:sz w:val="21"/>
          <w:szCs w:val="21"/>
        </w:rPr>
        <w:t>据此作出的判断和决策承担任何责任。</w:t>
      </w:r>
    </w:p>
    <w:p w14:paraId="5E24ABBB">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4" w:name="_Toc452457644"/>
      <w:r>
        <w:rPr>
          <w:rFonts w:hint="eastAsia" w:ascii="宋体" w:hAnsi="宋体" w:eastAsia="宋体" w:cs="宋体"/>
          <w:sz w:val="21"/>
          <w:szCs w:val="21"/>
        </w:rPr>
        <w:t xml:space="preserve">1.10 </w:t>
      </w:r>
      <w:r>
        <w:rPr>
          <w:rFonts w:hint="eastAsia" w:ascii="宋体" w:hAnsi="宋体" w:eastAsia="宋体" w:cs="宋体"/>
          <w:sz w:val="21"/>
          <w:szCs w:val="21"/>
          <w:lang w:eastAsia="zh-CN"/>
        </w:rPr>
        <w:t>竞包</w:t>
      </w:r>
      <w:r>
        <w:rPr>
          <w:rFonts w:hint="eastAsia" w:ascii="宋体" w:hAnsi="宋体" w:eastAsia="宋体" w:cs="宋体"/>
          <w:sz w:val="21"/>
          <w:szCs w:val="21"/>
        </w:rPr>
        <w:t>预备会</w:t>
      </w:r>
      <w:bookmarkEnd w:id="114"/>
    </w:p>
    <w:p w14:paraId="17F3A62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1.10.1 第一章“</w:t>
      </w:r>
      <w:r>
        <w:rPr>
          <w:rFonts w:hint="eastAsia" w:ascii="宋体" w:hAnsi="宋体" w:eastAsia="宋体" w:cs="宋体"/>
          <w:sz w:val="21"/>
          <w:szCs w:val="21"/>
          <w:lang w:eastAsia="zh-CN"/>
        </w:rPr>
        <w:t>发包公告</w:t>
      </w:r>
      <w:r>
        <w:rPr>
          <w:rFonts w:hint="eastAsia" w:ascii="宋体" w:hAnsi="宋体" w:eastAsia="宋体" w:cs="宋体"/>
          <w:sz w:val="21"/>
          <w:szCs w:val="21"/>
        </w:rPr>
        <w:t>”</w:t>
      </w:r>
      <w:r>
        <w:rPr>
          <w:rFonts w:hint="eastAsia" w:ascii="宋体" w:hAnsi="宋体" w:eastAsia="宋体" w:cs="宋体"/>
          <w:sz w:val="21"/>
          <w:szCs w:val="21"/>
          <w:lang w:val="en-US" w:eastAsia="zh-CN"/>
        </w:rPr>
        <w:t>或“竞包邀请书”</w:t>
      </w:r>
      <w:r>
        <w:rPr>
          <w:rFonts w:hint="eastAsia" w:ascii="宋体" w:hAnsi="宋体" w:eastAsia="宋体" w:cs="宋体"/>
          <w:sz w:val="21"/>
          <w:szCs w:val="21"/>
        </w:rPr>
        <w:t>规定召开</w:t>
      </w:r>
      <w:r>
        <w:rPr>
          <w:rFonts w:hint="eastAsia" w:ascii="宋体" w:hAnsi="宋体" w:eastAsia="宋体" w:cs="宋体"/>
          <w:sz w:val="21"/>
          <w:szCs w:val="21"/>
          <w:lang w:eastAsia="zh-CN"/>
        </w:rPr>
        <w:t>竞包</w:t>
      </w:r>
      <w:r>
        <w:rPr>
          <w:rFonts w:hint="eastAsia" w:ascii="宋体" w:hAnsi="宋体" w:eastAsia="宋体" w:cs="宋体"/>
          <w:sz w:val="21"/>
          <w:szCs w:val="21"/>
        </w:rPr>
        <w:t>预备会的，</w:t>
      </w:r>
      <w:r>
        <w:rPr>
          <w:rFonts w:hint="eastAsia" w:ascii="宋体" w:hAnsi="宋体" w:eastAsia="宋体" w:cs="宋体"/>
          <w:sz w:val="21"/>
          <w:szCs w:val="21"/>
          <w:lang w:eastAsia="zh-CN"/>
        </w:rPr>
        <w:t>发包人</w:t>
      </w:r>
      <w:r>
        <w:rPr>
          <w:rFonts w:hint="eastAsia" w:ascii="宋体" w:hAnsi="宋体" w:eastAsia="宋体" w:cs="宋体"/>
          <w:sz w:val="21"/>
          <w:szCs w:val="21"/>
        </w:rPr>
        <w:t>按规定的时间和地点召开</w:t>
      </w:r>
      <w:r>
        <w:rPr>
          <w:rFonts w:hint="eastAsia" w:ascii="宋体" w:hAnsi="宋体" w:eastAsia="宋体" w:cs="宋体"/>
          <w:sz w:val="21"/>
          <w:szCs w:val="21"/>
          <w:lang w:eastAsia="zh-CN"/>
        </w:rPr>
        <w:t>竞包</w:t>
      </w:r>
      <w:r>
        <w:rPr>
          <w:rFonts w:hint="eastAsia" w:ascii="宋体" w:hAnsi="宋体" w:eastAsia="宋体" w:cs="宋体"/>
          <w:sz w:val="21"/>
          <w:szCs w:val="21"/>
        </w:rPr>
        <w:t>预备会，澄清</w:t>
      </w:r>
      <w:r>
        <w:rPr>
          <w:rFonts w:hint="eastAsia" w:ascii="宋体" w:hAnsi="宋体" w:eastAsia="宋体" w:cs="宋体"/>
          <w:sz w:val="21"/>
          <w:szCs w:val="21"/>
          <w:lang w:eastAsia="zh-CN"/>
        </w:rPr>
        <w:t>竞包人</w:t>
      </w:r>
      <w:r>
        <w:rPr>
          <w:rFonts w:hint="eastAsia" w:ascii="宋体" w:hAnsi="宋体" w:eastAsia="宋体" w:cs="宋体"/>
          <w:sz w:val="21"/>
          <w:szCs w:val="21"/>
        </w:rPr>
        <w:t>提出的问题。</w:t>
      </w:r>
    </w:p>
    <w:p w14:paraId="606076C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1.10.2 </w:t>
      </w:r>
      <w:r>
        <w:rPr>
          <w:rFonts w:hint="eastAsia" w:ascii="宋体" w:hAnsi="宋体" w:eastAsia="宋体" w:cs="宋体"/>
          <w:sz w:val="21"/>
          <w:szCs w:val="21"/>
          <w:lang w:eastAsia="zh-CN"/>
        </w:rPr>
        <w:t>竞包人</w:t>
      </w:r>
      <w:r>
        <w:rPr>
          <w:rFonts w:hint="eastAsia" w:ascii="宋体" w:hAnsi="宋体" w:eastAsia="宋体" w:cs="宋体"/>
          <w:sz w:val="21"/>
          <w:szCs w:val="21"/>
        </w:rPr>
        <w:t>应在</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须知前附表规定的时间前，通过</w:t>
      </w:r>
      <w:r>
        <w:rPr>
          <w:rFonts w:hint="eastAsia" w:ascii="宋体" w:hAnsi="宋体" w:eastAsia="宋体" w:cs="宋体"/>
          <w:snapToGrid w:val="0"/>
          <w:sz w:val="21"/>
          <w:szCs w:val="21"/>
        </w:rPr>
        <w:t>“电子交易平台”</w:t>
      </w:r>
      <w:r>
        <w:rPr>
          <w:rFonts w:hint="eastAsia" w:ascii="宋体" w:hAnsi="宋体" w:eastAsia="宋体" w:cs="宋体"/>
          <w:sz w:val="21"/>
          <w:szCs w:val="21"/>
        </w:rPr>
        <w:t>将提出的问题送达</w:t>
      </w:r>
      <w:r>
        <w:rPr>
          <w:rFonts w:hint="eastAsia" w:ascii="宋体" w:hAnsi="宋体" w:eastAsia="宋体" w:cs="宋体"/>
          <w:sz w:val="21"/>
          <w:szCs w:val="21"/>
          <w:lang w:eastAsia="zh-CN"/>
        </w:rPr>
        <w:t>发包人</w:t>
      </w:r>
      <w:r>
        <w:rPr>
          <w:rFonts w:hint="eastAsia" w:ascii="宋体" w:hAnsi="宋体" w:eastAsia="宋体" w:cs="宋体"/>
          <w:sz w:val="21"/>
          <w:szCs w:val="21"/>
        </w:rPr>
        <w:t>，以便</w:t>
      </w:r>
      <w:r>
        <w:rPr>
          <w:rFonts w:hint="eastAsia" w:ascii="宋体" w:hAnsi="宋体" w:eastAsia="宋体" w:cs="宋体"/>
          <w:sz w:val="21"/>
          <w:szCs w:val="21"/>
          <w:lang w:eastAsia="zh-CN"/>
        </w:rPr>
        <w:t>发包人</w:t>
      </w:r>
      <w:r>
        <w:rPr>
          <w:rFonts w:hint="eastAsia" w:ascii="宋体" w:hAnsi="宋体" w:eastAsia="宋体" w:cs="宋体"/>
          <w:sz w:val="21"/>
          <w:szCs w:val="21"/>
        </w:rPr>
        <w:t>在会议期间澄清。</w:t>
      </w:r>
    </w:p>
    <w:p w14:paraId="4739DB4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1.10.3 </w:t>
      </w:r>
      <w:r>
        <w:rPr>
          <w:rFonts w:hint="eastAsia" w:ascii="宋体" w:hAnsi="宋体" w:eastAsia="宋体" w:cs="宋体"/>
          <w:sz w:val="21"/>
          <w:szCs w:val="21"/>
          <w:lang w:eastAsia="zh-CN"/>
        </w:rPr>
        <w:t>竞包</w:t>
      </w:r>
      <w:r>
        <w:rPr>
          <w:rFonts w:hint="eastAsia" w:ascii="宋体" w:hAnsi="宋体" w:eastAsia="宋体" w:cs="宋体"/>
          <w:sz w:val="21"/>
          <w:szCs w:val="21"/>
        </w:rPr>
        <w:t>预备会后，</w:t>
      </w:r>
      <w:r>
        <w:rPr>
          <w:rFonts w:hint="eastAsia" w:ascii="宋体" w:hAnsi="宋体" w:eastAsia="宋体" w:cs="宋体"/>
          <w:sz w:val="21"/>
          <w:szCs w:val="21"/>
          <w:lang w:eastAsia="zh-CN"/>
        </w:rPr>
        <w:t>发包人</w:t>
      </w:r>
      <w:r>
        <w:rPr>
          <w:rFonts w:hint="eastAsia" w:ascii="宋体" w:hAnsi="宋体" w:eastAsia="宋体" w:cs="宋体"/>
          <w:sz w:val="21"/>
          <w:szCs w:val="21"/>
        </w:rPr>
        <w:t>将对</w:t>
      </w:r>
      <w:r>
        <w:rPr>
          <w:rFonts w:hint="eastAsia" w:ascii="宋体" w:hAnsi="宋体" w:eastAsia="宋体" w:cs="宋体"/>
          <w:sz w:val="21"/>
          <w:szCs w:val="21"/>
          <w:lang w:eastAsia="zh-CN"/>
        </w:rPr>
        <w:t>竞包人</w:t>
      </w:r>
      <w:r>
        <w:rPr>
          <w:rFonts w:hint="eastAsia" w:ascii="宋体" w:hAnsi="宋体" w:eastAsia="宋体" w:cs="宋体"/>
          <w:sz w:val="21"/>
          <w:szCs w:val="21"/>
        </w:rPr>
        <w:t>所提问题的澄清，以本章第2.2款规定的形式通知所有获取</w:t>
      </w:r>
      <w:r>
        <w:rPr>
          <w:rFonts w:hint="eastAsia" w:ascii="宋体" w:hAnsi="宋体" w:eastAsia="宋体" w:cs="宋体"/>
          <w:sz w:val="21"/>
          <w:szCs w:val="21"/>
          <w:lang w:eastAsia="zh-CN"/>
        </w:rPr>
        <w:t>发包文件</w:t>
      </w:r>
      <w:r>
        <w:rPr>
          <w:rFonts w:hint="eastAsia" w:ascii="宋体" w:hAnsi="宋体" w:eastAsia="宋体" w:cs="宋体"/>
          <w:sz w:val="21"/>
          <w:szCs w:val="21"/>
        </w:rPr>
        <w:t>的</w:t>
      </w:r>
      <w:r>
        <w:rPr>
          <w:rFonts w:hint="eastAsia" w:ascii="宋体" w:hAnsi="宋体" w:eastAsia="宋体" w:cs="宋体"/>
          <w:sz w:val="21"/>
          <w:szCs w:val="21"/>
          <w:lang w:eastAsia="zh-CN"/>
        </w:rPr>
        <w:t>竞包人</w:t>
      </w:r>
      <w:r>
        <w:rPr>
          <w:rFonts w:hint="eastAsia" w:ascii="宋体" w:hAnsi="宋体" w:eastAsia="宋体" w:cs="宋体"/>
          <w:sz w:val="21"/>
          <w:szCs w:val="21"/>
        </w:rPr>
        <w:t>。该澄清内容为</w:t>
      </w:r>
      <w:r>
        <w:rPr>
          <w:rFonts w:hint="eastAsia" w:ascii="宋体" w:hAnsi="宋体" w:eastAsia="宋体" w:cs="宋体"/>
          <w:sz w:val="21"/>
          <w:szCs w:val="21"/>
          <w:lang w:eastAsia="zh-CN"/>
        </w:rPr>
        <w:t>发包文件</w:t>
      </w:r>
      <w:r>
        <w:rPr>
          <w:rFonts w:hint="eastAsia" w:ascii="宋体" w:hAnsi="宋体" w:eastAsia="宋体" w:cs="宋体"/>
          <w:sz w:val="21"/>
          <w:szCs w:val="21"/>
        </w:rPr>
        <w:t>的组成部分。</w:t>
      </w:r>
    </w:p>
    <w:p w14:paraId="4FB4CBFB">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5" w:name="_Toc452457645"/>
      <w:r>
        <w:rPr>
          <w:rFonts w:hint="eastAsia" w:ascii="宋体" w:hAnsi="宋体" w:eastAsia="宋体" w:cs="宋体"/>
          <w:sz w:val="21"/>
          <w:szCs w:val="21"/>
        </w:rPr>
        <w:t>1.11 分包</w:t>
      </w:r>
      <w:bookmarkEnd w:id="115"/>
    </w:p>
    <w:p w14:paraId="3BD2383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1.11.1</w:t>
      </w:r>
      <w:r>
        <w:rPr>
          <w:rFonts w:hint="eastAsia" w:ascii="宋体" w:hAnsi="宋体" w:eastAsia="宋体" w:cs="宋体"/>
          <w:sz w:val="21"/>
          <w:szCs w:val="21"/>
          <w:lang w:eastAsia="zh-CN"/>
        </w:rPr>
        <w:t>竞包人</w:t>
      </w:r>
      <w:r>
        <w:rPr>
          <w:rFonts w:hint="eastAsia" w:ascii="宋体" w:hAnsi="宋体" w:eastAsia="宋体" w:cs="宋体"/>
          <w:sz w:val="21"/>
          <w:szCs w:val="21"/>
        </w:rPr>
        <w:t>拟在</w:t>
      </w:r>
      <w:r>
        <w:rPr>
          <w:rFonts w:hint="eastAsia" w:ascii="宋体" w:hAnsi="宋体" w:cs="宋体"/>
          <w:sz w:val="21"/>
          <w:szCs w:val="21"/>
          <w:lang w:val="en-US" w:eastAsia="zh-CN"/>
        </w:rPr>
        <w:t>承包</w:t>
      </w:r>
      <w:r>
        <w:rPr>
          <w:rFonts w:hint="eastAsia" w:ascii="宋体" w:hAnsi="宋体" w:eastAsia="宋体" w:cs="宋体"/>
          <w:sz w:val="21"/>
          <w:szCs w:val="21"/>
        </w:rPr>
        <w:t>后将</w:t>
      </w:r>
      <w:r>
        <w:rPr>
          <w:rFonts w:hint="eastAsia" w:ascii="宋体" w:hAnsi="宋体" w:cs="宋体"/>
          <w:sz w:val="21"/>
          <w:szCs w:val="21"/>
          <w:lang w:val="en-US" w:eastAsia="zh-CN"/>
        </w:rPr>
        <w:t>承包</w:t>
      </w:r>
      <w:r>
        <w:rPr>
          <w:rFonts w:hint="eastAsia" w:ascii="宋体" w:hAnsi="宋体" w:eastAsia="宋体" w:cs="宋体"/>
          <w:sz w:val="21"/>
          <w:szCs w:val="21"/>
        </w:rPr>
        <w:t>项目的部分工作进行分包的， 应符合</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须知前附表的规定，</w:t>
      </w:r>
      <w:r>
        <w:rPr>
          <w:rFonts w:hint="eastAsia" w:ascii="宋体" w:hAnsi="宋体" w:eastAsia="宋体" w:cs="宋体"/>
          <w:sz w:val="21"/>
          <w:szCs w:val="21"/>
          <w:lang w:eastAsia="zh-CN"/>
        </w:rPr>
        <w:t>竞包人</w:t>
      </w:r>
      <w:r>
        <w:rPr>
          <w:rFonts w:hint="eastAsia" w:ascii="宋体" w:hAnsi="宋体" w:cs="宋体"/>
          <w:sz w:val="21"/>
          <w:szCs w:val="21"/>
          <w:lang w:val="en-US" w:eastAsia="zh-CN"/>
        </w:rPr>
        <w:t>承包</w:t>
      </w:r>
      <w:r>
        <w:rPr>
          <w:rFonts w:hint="eastAsia" w:ascii="宋体" w:hAnsi="宋体" w:eastAsia="宋体" w:cs="宋体"/>
          <w:sz w:val="21"/>
          <w:szCs w:val="21"/>
        </w:rPr>
        <w:t>后的分包应满足合同条款第4.3款的相关要求。</w:t>
      </w:r>
    </w:p>
    <w:p w14:paraId="6E76DDCC">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1.11.2 </w:t>
      </w:r>
      <w:r>
        <w:rPr>
          <w:rFonts w:hint="eastAsia" w:ascii="宋体" w:hAnsi="宋体" w:cs="宋体"/>
          <w:sz w:val="21"/>
          <w:szCs w:val="21"/>
          <w:lang w:val="en-US" w:eastAsia="zh-CN"/>
        </w:rPr>
        <w:t>承包</w:t>
      </w:r>
      <w:r>
        <w:rPr>
          <w:rFonts w:hint="eastAsia" w:ascii="宋体" w:hAnsi="宋体" w:eastAsia="宋体" w:cs="宋体"/>
          <w:sz w:val="21"/>
          <w:szCs w:val="21"/>
        </w:rPr>
        <w:t>人不得向他人转让</w:t>
      </w:r>
      <w:r>
        <w:rPr>
          <w:rFonts w:hint="eastAsia" w:ascii="宋体" w:hAnsi="宋体" w:cs="宋体"/>
          <w:sz w:val="21"/>
          <w:szCs w:val="21"/>
          <w:lang w:val="en-US" w:eastAsia="zh-CN"/>
        </w:rPr>
        <w:t>承包</w:t>
      </w:r>
      <w:r>
        <w:rPr>
          <w:rFonts w:hint="eastAsia" w:ascii="宋体" w:hAnsi="宋体" w:eastAsia="宋体" w:cs="宋体"/>
          <w:sz w:val="21"/>
          <w:szCs w:val="21"/>
        </w:rPr>
        <w:t>项目，接受分包的人不得再次分包。</w:t>
      </w:r>
      <w:r>
        <w:rPr>
          <w:rFonts w:hint="eastAsia" w:ascii="宋体" w:hAnsi="宋体" w:cs="宋体"/>
          <w:sz w:val="21"/>
          <w:szCs w:val="21"/>
          <w:lang w:val="en-US" w:eastAsia="zh-CN"/>
        </w:rPr>
        <w:t>承包</w:t>
      </w:r>
      <w:r>
        <w:rPr>
          <w:rFonts w:hint="eastAsia" w:ascii="宋体" w:hAnsi="宋体" w:eastAsia="宋体" w:cs="宋体"/>
          <w:sz w:val="21"/>
          <w:szCs w:val="21"/>
        </w:rPr>
        <w:t>人应就分包项目向</w:t>
      </w:r>
      <w:r>
        <w:rPr>
          <w:rFonts w:hint="eastAsia" w:ascii="宋体" w:hAnsi="宋体" w:eastAsia="宋体" w:cs="宋体"/>
          <w:sz w:val="21"/>
          <w:szCs w:val="21"/>
          <w:lang w:eastAsia="zh-CN"/>
        </w:rPr>
        <w:t>发包人</w:t>
      </w:r>
      <w:r>
        <w:rPr>
          <w:rFonts w:hint="eastAsia" w:ascii="宋体" w:hAnsi="宋体" w:eastAsia="宋体" w:cs="宋体"/>
          <w:sz w:val="21"/>
          <w:szCs w:val="21"/>
        </w:rPr>
        <w:t>负责，接受分包的人就分包项目承担连带责任。</w:t>
      </w:r>
    </w:p>
    <w:p w14:paraId="07257173">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16" w:name="_Toc452457646"/>
      <w:r>
        <w:rPr>
          <w:rFonts w:hint="eastAsia" w:ascii="宋体" w:hAnsi="宋体" w:eastAsia="宋体" w:cs="宋体"/>
          <w:sz w:val="21"/>
          <w:szCs w:val="21"/>
        </w:rPr>
        <w:t>1.12</w:t>
      </w:r>
      <w:bookmarkEnd w:id="116"/>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响应和偏差</w:t>
      </w:r>
    </w:p>
    <w:p w14:paraId="574F0EC8">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1.12.1 </w:t>
      </w:r>
      <w:r>
        <w:rPr>
          <w:rFonts w:hint="eastAsia" w:ascii="宋体" w:hAnsi="宋体" w:cs="宋体"/>
          <w:sz w:val="21"/>
          <w:szCs w:val="21"/>
          <w:lang w:eastAsia="zh-CN"/>
        </w:rPr>
        <w:t>竞包</w:t>
      </w:r>
      <w:r>
        <w:rPr>
          <w:rFonts w:hint="eastAsia" w:ascii="宋体" w:hAnsi="宋体" w:eastAsia="宋体" w:cs="宋体"/>
          <w:sz w:val="21"/>
          <w:szCs w:val="21"/>
        </w:rPr>
        <w:t>文件偏离</w:t>
      </w:r>
      <w:r>
        <w:rPr>
          <w:rFonts w:hint="eastAsia" w:ascii="宋体" w:hAnsi="宋体" w:cs="宋体"/>
          <w:sz w:val="21"/>
          <w:szCs w:val="21"/>
          <w:lang w:val="en-US" w:eastAsia="zh-CN"/>
        </w:rPr>
        <w:t>发包文件</w:t>
      </w:r>
      <w:r>
        <w:rPr>
          <w:rFonts w:hint="eastAsia" w:ascii="宋体" w:hAnsi="宋体" w:eastAsia="宋体" w:cs="宋体"/>
          <w:sz w:val="21"/>
          <w:szCs w:val="21"/>
        </w:rPr>
        <w:t>某些要求，视为</w:t>
      </w:r>
      <w:r>
        <w:rPr>
          <w:rFonts w:hint="eastAsia" w:ascii="宋体" w:hAnsi="宋体" w:cs="宋体"/>
          <w:sz w:val="21"/>
          <w:szCs w:val="21"/>
          <w:lang w:eastAsia="zh-CN"/>
        </w:rPr>
        <w:t>竞包</w:t>
      </w:r>
      <w:r>
        <w:rPr>
          <w:rFonts w:hint="eastAsia" w:ascii="宋体" w:hAnsi="宋体" w:eastAsia="宋体" w:cs="宋体"/>
          <w:sz w:val="21"/>
          <w:szCs w:val="21"/>
        </w:rPr>
        <w:t>文件存在偏差。偏差包括重大偏差和细微偏差。</w:t>
      </w:r>
    </w:p>
    <w:p w14:paraId="67D7B123">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1.12.2 </w:t>
      </w:r>
      <w:r>
        <w:rPr>
          <w:rFonts w:hint="eastAsia" w:ascii="宋体" w:hAnsi="宋体" w:cs="宋体"/>
          <w:sz w:val="21"/>
          <w:szCs w:val="21"/>
          <w:lang w:eastAsia="zh-CN"/>
        </w:rPr>
        <w:t>竞包</w:t>
      </w:r>
      <w:r>
        <w:rPr>
          <w:rFonts w:hint="eastAsia" w:ascii="宋体" w:hAnsi="宋体" w:eastAsia="宋体" w:cs="宋体"/>
          <w:sz w:val="21"/>
          <w:szCs w:val="21"/>
        </w:rPr>
        <w:t>文件应对</w:t>
      </w:r>
      <w:r>
        <w:rPr>
          <w:rFonts w:hint="eastAsia" w:ascii="宋体" w:hAnsi="宋体" w:cs="宋体"/>
          <w:sz w:val="21"/>
          <w:szCs w:val="21"/>
          <w:lang w:val="en-US" w:eastAsia="zh-CN"/>
        </w:rPr>
        <w:t>发包文件</w:t>
      </w:r>
      <w:r>
        <w:rPr>
          <w:rFonts w:hint="eastAsia" w:ascii="宋体" w:hAnsi="宋体" w:eastAsia="宋体" w:cs="宋体"/>
          <w:sz w:val="21"/>
          <w:szCs w:val="21"/>
        </w:rPr>
        <w:t>的实质性要求和条件作出满足性或更有利于</w:t>
      </w:r>
      <w:r>
        <w:rPr>
          <w:rFonts w:hint="eastAsia" w:ascii="宋体" w:hAnsi="宋体" w:cs="宋体"/>
          <w:sz w:val="21"/>
          <w:szCs w:val="21"/>
          <w:lang w:val="en-US" w:eastAsia="zh-CN"/>
        </w:rPr>
        <w:t>发包人</w:t>
      </w:r>
      <w:r>
        <w:rPr>
          <w:rFonts w:hint="eastAsia" w:ascii="宋体" w:hAnsi="宋体" w:eastAsia="宋体" w:cs="宋体"/>
          <w:sz w:val="21"/>
          <w:szCs w:val="21"/>
        </w:rPr>
        <w:t>的响应，否则，视为</w:t>
      </w:r>
      <w:r>
        <w:rPr>
          <w:rFonts w:hint="eastAsia" w:ascii="宋体" w:hAnsi="宋体" w:cs="宋体"/>
          <w:sz w:val="21"/>
          <w:szCs w:val="21"/>
          <w:lang w:eastAsia="zh-CN"/>
        </w:rPr>
        <w:t>竞包</w:t>
      </w:r>
      <w:r>
        <w:rPr>
          <w:rFonts w:hint="eastAsia" w:ascii="宋体" w:hAnsi="宋体" w:eastAsia="宋体" w:cs="宋体"/>
          <w:sz w:val="21"/>
          <w:szCs w:val="21"/>
        </w:rPr>
        <w:t>文件存在重大偏差，</w:t>
      </w:r>
      <w:r>
        <w:rPr>
          <w:rFonts w:hint="eastAsia" w:ascii="宋体" w:hAnsi="宋体" w:cs="宋体"/>
          <w:sz w:val="21"/>
          <w:szCs w:val="21"/>
          <w:lang w:eastAsia="zh-CN"/>
        </w:rPr>
        <w:t>竞包人</w:t>
      </w:r>
      <w:r>
        <w:rPr>
          <w:rFonts w:hint="eastAsia" w:ascii="宋体" w:hAnsi="宋体" w:eastAsia="宋体" w:cs="宋体"/>
          <w:sz w:val="21"/>
          <w:szCs w:val="21"/>
        </w:rPr>
        <w:t>的</w:t>
      </w:r>
      <w:r>
        <w:rPr>
          <w:rFonts w:hint="eastAsia" w:ascii="宋体" w:hAnsi="宋体" w:cs="宋体"/>
          <w:sz w:val="21"/>
          <w:szCs w:val="21"/>
          <w:lang w:eastAsia="zh-CN"/>
        </w:rPr>
        <w:t>竞包</w:t>
      </w:r>
      <w:r>
        <w:rPr>
          <w:rFonts w:hint="eastAsia" w:ascii="宋体" w:hAnsi="宋体" w:eastAsia="宋体" w:cs="宋体"/>
          <w:sz w:val="21"/>
          <w:szCs w:val="21"/>
        </w:rPr>
        <w:t xml:space="preserve">将被否决。 </w:t>
      </w:r>
    </w:p>
    <w:p w14:paraId="7BE693EC">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cs="宋体"/>
          <w:sz w:val="21"/>
          <w:szCs w:val="21"/>
          <w:lang w:eastAsia="zh-CN"/>
        </w:rPr>
        <w:t>竞包</w:t>
      </w:r>
      <w:r>
        <w:rPr>
          <w:rFonts w:hint="eastAsia" w:ascii="宋体" w:hAnsi="宋体" w:eastAsia="宋体" w:cs="宋体"/>
          <w:sz w:val="21"/>
          <w:szCs w:val="21"/>
        </w:rPr>
        <w:t>文件存在第三章“评</w:t>
      </w:r>
      <w:r>
        <w:rPr>
          <w:rFonts w:hint="eastAsia" w:ascii="宋体" w:hAnsi="宋体" w:eastAsia="宋体" w:cs="宋体"/>
          <w:sz w:val="21"/>
          <w:szCs w:val="21"/>
          <w:lang w:val="en-US" w:eastAsia="zh-CN"/>
        </w:rPr>
        <w:t>审</w:t>
      </w:r>
      <w:r>
        <w:rPr>
          <w:rFonts w:hint="eastAsia" w:ascii="宋体" w:hAnsi="宋体" w:eastAsia="宋体" w:cs="宋体"/>
          <w:sz w:val="21"/>
          <w:szCs w:val="21"/>
        </w:rPr>
        <w:t>办法”中所列任一否决</w:t>
      </w:r>
      <w:r>
        <w:rPr>
          <w:rFonts w:hint="eastAsia" w:ascii="宋体" w:hAnsi="宋体" w:cs="宋体"/>
          <w:sz w:val="21"/>
          <w:szCs w:val="21"/>
          <w:lang w:eastAsia="zh-CN"/>
        </w:rPr>
        <w:t>竞包</w:t>
      </w:r>
      <w:r>
        <w:rPr>
          <w:rFonts w:hint="eastAsia" w:ascii="宋体" w:hAnsi="宋体" w:eastAsia="宋体" w:cs="宋体"/>
          <w:sz w:val="21"/>
          <w:szCs w:val="21"/>
        </w:rPr>
        <w:t>情形的，均属于存在重大偏差。</w:t>
      </w:r>
    </w:p>
    <w:p w14:paraId="73751256">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1.12.3 </w:t>
      </w:r>
      <w:r>
        <w:rPr>
          <w:rFonts w:hint="eastAsia" w:ascii="宋体" w:hAnsi="宋体" w:cs="宋体"/>
          <w:sz w:val="21"/>
          <w:szCs w:val="21"/>
          <w:lang w:eastAsia="zh-CN"/>
        </w:rPr>
        <w:t>竞包</w:t>
      </w:r>
      <w:r>
        <w:rPr>
          <w:rFonts w:hint="eastAsia" w:ascii="宋体" w:hAnsi="宋体" w:eastAsia="宋体" w:cs="宋体"/>
          <w:sz w:val="21"/>
          <w:szCs w:val="21"/>
        </w:rPr>
        <w:t>文件中的下列偏差为细微偏差：</w:t>
      </w:r>
    </w:p>
    <w:p w14:paraId="1EC6B351">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eastAsia="zh-CN"/>
        </w:rPr>
        <w:t>竞包</w:t>
      </w:r>
      <w:r>
        <w:rPr>
          <w:rFonts w:hint="eastAsia" w:ascii="宋体" w:hAnsi="宋体" w:eastAsia="宋体" w:cs="宋体"/>
          <w:sz w:val="21"/>
          <w:szCs w:val="21"/>
        </w:rPr>
        <w:t>文件页码不连续、个别文字有遗漏错误等不影响</w:t>
      </w:r>
      <w:r>
        <w:rPr>
          <w:rFonts w:hint="eastAsia" w:ascii="宋体" w:hAnsi="宋体" w:cs="宋体"/>
          <w:sz w:val="21"/>
          <w:szCs w:val="21"/>
          <w:lang w:eastAsia="zh-CN"/>
        </w:rPr>
        <w:t>竞包</w:t>
      </w:r>
      <w:r>
        <w:rPr>
          <w:rFonts w:hint="eastAsia" w:ascii="宋体" w:hAnsi="宋体" w:eastAsia="宋体" w:cs="宋体"/>
          <w:sz w:val="21"/>
          <w:szCs w:val="21"/>
        </w:rPr>
        <w:t>文件实质性内容的偏差。</w:t>
      </w:r>
    </w:p>
    <w:p w14:paraId="640AEDBD">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1.12.4 评标委员会对</w:t>
      </w:r>
      <w:r>
        <w:rPr>
          <w:rFonts w:hint="eastAsia" w:ascii="宋体" w:hAnsi="宋体" w:cs="宋体"/>
          <w:sz w:val="21"/>
          <w:szCs w:val="21"/>
          <w:lang w:eastAsia="zh-CN"/>
        </w:rPr>
        <w:t>竞包</w:t>
      </w:r>
      <w:r>
        <w:rPr>
          <w:rFonts w:hint="eastAsia" w:ascii="宋体" w:hAnsi="宋体" w:eastAsia="宋体" w:cs="宋体"/>
          <w:sz w:val="21"/>
          <w:szCs w:val="21"/>
        </w:rPr>
        <w:t>文件中的细微偏差按如下规定处理：</w:t>
      </w:r>
    </w:p>
    <w:p w14:paraId="15EE0D5A">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）对于本章第1.12.3项（</w:t>
      </w:r>
      <w:r>
        <w:rPr>
          <w:rFonts w:hint="eastAsia" w:ascii="宋体" w:hAnsi="宋体" w:eastAsia="宋体" w:cs="宋体"/>
          <w:sz w:val="21"/>
          <w:szCs w:val="21"/>
          <w:lang w:val="en-US" w:eastAsia="zh-CN"/>
        </w:rPr>
        <w:t>1</w:t>
      </w:r>
      <w:r>
        <w:rPr>
          <w:rFonts w:hint="eastAsia" w:ascii="宋体" w:hAnsi="宋体" w:eastAsia="宋体" w:cs="宋体"/>
          <w:sz w:val="21"/>
          <w:szCs w:val="21"/>
        </w:rPr>
        <w:t>）目所述的细微偏差，可要求</w:t>
      </w:r>
      <w:r>
        <w:rPr>
          <w:rFonts w:hint="eastAsia" w:ascii="宋体" w:hAnsi="宋体" w:cs="宋体"/>
          <w:sz w:val="21"/>
          <w:szCs w:val="21"/>
          <w:lang w:eastAsia="zh-CN"/>
        </w:rPr>
        <w:t>竞包人</w:t>
      </w:r>
      <w:r>
        <w:rPr>
          <w:rFonts w:hint="eastAsia" w:ascii="宋体" w:hAnsi="宋体" w:eastAsia="宋体" w:cs="宋体"/>
          <w:sz w:val="21"/>
          <w:szCs w:val="21"/>
        </w:rPr>
        <w:t>对细微偏差进行澄清。</w:t>
      </w:r>
    </w:p>
    <w:p w14:paraId="290D527C">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1.12.5 </w:t>
      </w:r>
      <w:r>
        <w:rPr>
          <w:rFonts w:hint="eastAsia" w:ascii="宋体" w:hAnsi="宋体" w:cs="宋体"/>
          <w:sz w:val="21"/>
          <w:szCs w:val="21"/>
          <w:lang w:eastAsia="zh-CN"/>
        </w:rPr>
        <w:t>竞包人</w:t>
      </w:r>
      <w:r>
        <w:rPr>
          <w:rFonts w:hint="eastAsia" w:ascii="宋体" w:hAnsi="宋体" w:eastAsia="宋体" w:cs="宋体"/>
          <w:sz w:val="21"/>
          <w:szCs w:val="21"/>
        </w:rPr>
        <w:t>应根据</w:t>
      </w:r>
      <w:r>
        <w:rPr>
          <w:rFonts w:hint="eastAsia" w:ascii="宋体" w:hAnsi="宋体" w:cs="宋体"/>
          <w:sz w:val="21"/>
          <w:szCs w:val="21"/>
          <w:lang w:val="en-US" w:eastAsia="zh-CN"/>
        </w:rPr>
        <w:t>发包文件</w:t>
      </w:r>
      <w:r>
        <w:rPr>
          <w:rFonts w:hint="eastAsia" w:ascii="宋体" w:hAnsi="宋体" w:eastAsia="宋体" w:cs="宋体"/>
          <w:sz w:val="21"/>
          <w:szCs w:val="21"/>
        </w:rPr>
        <w:t>的要求提供施工组织设计等内容以对</w:t>
      </w:r>
      <w:r>
        <w:rPr>
          <w:rFonts w:hint="eastAsia" w:ascii="宋体" w:hAnsi="宋体" w:cs="宋体"/>
          <w:sz w:val="21"/>
          <w:szCs w:val="21"/>
          <w:lang w:val="en-US" w:eastAsia="zh-CN"/>
        </w:rPr>
        <w:t>发包文件</w:t>
      </w:r>
      <w:r>
        <w:rPr>
          <w:rFonts w:hint="eastAsia" w:ascii="宋体" w:hAnsi="宋体" w:eastAsia="宋体" w:cs="宋体"/>
          <w:sz w:val="21"/>
          <w:szCs w:val="21"/>
        </w:rPr>
        <w:t>作出响应。</w:t>
      </w:r>
    </w:p>
    <w:p w14:paraId="24FA914D">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lang w:eastAsia="zh-CN"/>
        </w:rPr>
      </w:pPr>
      <w:bookmarkStart w:id="117" w:name="_Toc452457647"/>
      <w:bookmarkStart w:id="118" w:name="_Toc154675041"/>
      <w:bookmarkStart w:id="119" w:name="_Toc4059"/>
      <w:bookmarkStart w:id="120" w:name="_Toc18437"/>
      <w:r>
        <w:rPr>
          <w:rFonts w:hint="eastAsia" w:ascii="宋体" w:hAnsi="宋体" w:eastAsia="宋体" w:cs="宋体"/>
          <w:b w:val="0"/>
          <w:sz w:val="21"/>
          <w:szCs w:val="21"/>
        </w:rPr>
        <w:t xml:space="preserve">2. </w:t>
      </w:r>
      <w:bookmarkEnd w:id="117"/>
      <w:bookmarkEnd w:id="118"/>
      <w:r>
        <w:rPr>
          <w:rFonts w:hint="eastAsia" w:ascii="宋体" w:hAnsi="宋体" w:eastAsia="宋体" w:cs="宋体"/>
          <w:b w:val="0"/>
          <w:sz w:val="21"/>
          <w:szCs w:val="21"/>
          <w:lang w:eastAsia="zh-CN"/>
        </w:rPr>
        <w:t>发包文件</w:t>
      </w:r>
      <w:bookmarkEnd w:id="119"/>
      <w:bookmarkEnd w:id="120"/>
    </w:p>
    <w:p w14:paraId="6C4D6F27">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21" w:name="_Toc452457648"/>
      <w:r>
        <w:rPr>
          <w:rFonts w:hint="eastAsia" w:ascii="宋体" w:hAnsi="宋体" w:eastAsia="宋体" w:cs="宋体"/>
          <w:sz w:val="21"/>
          <w:szCs w:val="21"/>
        </w:rPr>
        <w:t xml:space="preserve">2.1 </w:t>
      </w:r>
      <w:r>
        <w:rPr>
          <w:rFonts w:hint="eastAsia" w:ascii="宋体" w:hAnsi="宋体" w:eastAsia="宋体" w:cs="宋体"/>
          <w:sz w:val="21"/>
          <w:szCs w:val="21"/>
          <w:lang w:eastAsia="zh-CN"/>
        </w:rPr>
        <w:t>发包文件</w:t>
      </w:r>
      <w:r>
        <w:rPr>
          <w:rFonts w:hint="eastAsia" w:ascii="宋体" w:hAnsi="宋体" w:eastAsia="宋体" w:cs="宋体"/>
          <w:sz w:val="21"/>
          <w:szCs w:val="21"/>
        </w:rPr>
        <w:t>的组成</w:t>
      </w:r>
      <w:bookmarkEnd w:id="121"/>
    </w:p>
    <w:p w14:paraId="4E586D39">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本</w:t>
      </w:r>
      <w:r>
        <w:rPr>
          <w:rFonts w:hint="eastAsia" w:ascii="宋体" w:hAnsi="宋体" w:eastAsia="宋体" w:cs="宋体"/>
          <w:sz w:val="21"/>
          <w:szCs w:val="21"/>
          <w:lang w:eastAsia="zh-CN"/>
        </w:rPr>
        <w:t>发包文件</w:t>
      </w:r>
      <w:r>
        <w:rPr>
          <w:rFonts w:hint="eastAsia" w:ascii="宋体" w:hAnsi="宋体" w:eastAsia="宋体" w:cs="宋体"/>
          <w:sz w:val="21"/>
          <w:szCs w:val="21"/>
        </w:rPr>
        <w:t>包括：</w:t>
      </w:r>
    </w:p>
    <w:p w14:paraId="22A76FE2">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（1）</w:t>
      </w:r>
      <w:r>
        <w:rPr>
          <w:rFonts w:hint="eastAsia" w:ascii="宋体" w:hAnsi="宋体" w:eastAsia="宋体" w:cs="宋体"/>
          <w:sz w:val="21"/>
          <w:szCs w:val="21"/>
          <w:lang w:eastAsia="zh-CN"/>
        </w:rPr>
        <w:t>发包公告</w:t>
      </w:r>
      <w:r>
        <w:rPr>
          <w:rFonts w:hint="eastAsia" w:ascii="宋体" w:hAnsi="宋体" w:eastAsia="宋体" w:cs="宋体"/>
          <w:sz w:val="21"/>
          <w:szCs w:val="21"/>
          <w:lang w:val="en-US" w:eastAsia="zh-CN"/>
        </w:rPr>
        <w:t>或竞包邀请书</w:t>
      </w:r>
      <w:r>
        <w:rPr>
          <w:rFonts w:hint="eastAsia" w:ascii="宋体" w:hAnsi="宋体" w:eastAsia="宋体" w:cs="宋体"/>
          <w:sz w:val="21"/>
          <w:szCs w:val="21"/>
        </w:rPr>
        <w:t>；</w:t>
      </w:r>
    </w:p>
    <w:p w14:paraId="1E36BEE8">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（2）</w:t>
      </w:r>
      <w:r>
        <w:rPr>
          <w:rFonts w:hint="eastAsia" w:ascii="宋体" w:hAnsi="宋体" w:eastAsia="宋体" w:cs="宋体"/>
          <w:sz w:val="21"/>
          <w:szCs w:val="21"/>
          <w:lang w:eastAsia="zh-CN"/>
        </w:rPr>
        <w:t>竞包人</w:t>
      </w:r>
      <w:r>
        <w:rPr>
          <w:rFonts w:hint="eastAsia" w:ascii="宋体" w:hAnsi="宋体" w:eastAsia="宋体" w:cs="宋体"/>
          <w:sz w:val="21"/>
          <w:szCs w:val="21"/>
        </w:rPr>
        <w:t>须知；</w:t>
      </w:r>
    </w:p>
    <w:p w14:paraId="0BBB7218">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（3）评</w:t>
      </w:r>
      <w:r>
        <w:rPr>
          <w:rFonts w:hint="eastAsia" w:ascii="宋体" w:hAnsi="宋体" w:eastAsia="宋体" w:cs="宋体"/>
          <w:sz w:val="21"/>
          <w:szCs w:val="21"/>
          <w:lang w:val="en-US" w:eastAsia="zh-CN"/>
        </w:rPr>
        <w:t>审</w:t>
      </w:r>
      <w:r>
        <w:rPr>
          <w:rFonts w:hint="eastAsia" w:ascii="宋体" w:hAnsi="宋体" w:eastAsia="宋体" w:cs="宋体"/>
          <w:sz w:val="21"/>
          <w:szCs w:val="21"/>
        </w:rPr>
        <w:t>办法；</w:t>
      </w:r>
    </w:p>
    <w:p w14:paraId="471635AB">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（4）合同条款及格式；</w:t>
      </w:r>
    </w:p>
    <w:p w14:paraId="7EA5E805">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（5）</w:t>
      </w:r>
      <w:r>
        <w:rPr>
          <w:rFonts w:hint="eastAsia" w:ascii="宋体" w:hAnsi="宋体" w:eastAsia="宋体" w:cs="宋体"/>
          <w:sz w:val="21"/>
          <w:szCs w:val="21"/>
          <w:lang w:val="en-US" w:eastAsia="zh-CN"/>
        </w:rPr>
        <w:t>发包控制价</w:t>
      </w:r>
      <w:r>
        <w:rPr>
          <w:rFonts w:hint="eastAsia" w:ascii="宋体" w:hAnsi="宋体" w:eastAsia="宋体" w:cs="宋体"/>
          <w:sz w:val="21"/>
          <w:szCs w:val="21"/>
        </w:rPr>
        <w:t>；</w:t>
      </w:r>
    </w:p>
    <w:p w14:paraId="54FC7394">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（6）图纸；</w:t>
      </w:r>
    </w:p>
    <w:p w14:paraId="0B65B978">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（7）技术规范；</w:t>
      </w:r>
    </w:p>
    <w:p w14:paraId="6FCD51C0">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（8）工程量清单计量规则；</w:t>
      </w:r>
    </w:p>
    <w:p w14:paraId="68E5A0C4">
      <w:pPr>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竞包</w:t>
      </w:r>
      <w:r>
        <w:rPr>
          <w:rFonts w:hint="eastAsia" w:ascii="宋体" w:hAnsi="宋体" w:eastAsia="宋体" w:cs="宋体"/>
          <w:sz w:val="21"/>
          <w:szCs w:val="21"/>
        </w:rPr>
        <w:t>文件格式；</w:t>
      </w:r>
    </w:p>
    <w:p w14:paraId="5B6EF8E2">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（10）</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须知前附表规定的其他资料。</w:t>
      </w:r>
    </w:p>
    <w:p w14:paraId="3DA59CB3">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根据本章第1.10款、第2.2款和第2.3款对</w:t>
      </w:r>
      <w:r>
        <w:rPr>
          <w:rFonts w:hint="eastAsia" w:ascii="宋体" w:hAnsi="宋体" w:eastAsia="宋体" w:cs="宋体"/>
          <w:sz w:val="21"/>
          <w:szCs w:val="21"/>
          <w:lang w:eastAsia="zh-CN"/>
        </w:rPr>
        <w:t>发包文件</w:t>
      </w:r>
      <w:r>
        <w:rPr>
          <w:rFonts w:hint="eastAsia" w:ascii="宋体" w:hAnsi="宋体" w:eastAsia="宋体" w:cs="宋体"/>
          <w:sz w:val="21"/>
          <w:szCs w:val="21"/>
        </w:rPr>
        <w:t>所作的澄清、修改，构成</w:t>
      </w:r>
      <w:r>
        <w:rPr>
          <w:rFonts w:hint="eastAsia" w:ascii="宋体" w:hAnsi="宋体" w:eastAsia="宋体" w:cs="宋体"/>
          <w:sz w:val="21"/>
          <w:szCs w:val="21"/>
          <w:lang w:eastAsia="zh-CN"/>
        </w:rPr>
        <w:t>发包文件</w:t>
      </w:r>
      <w:r>
        <w:rPr>
          <w:rFonts w:hint="eastAsia" w:ascii="宋体" w:hAnsi="宋体" w:eastAsia="宋体" w:cs="宋体"/>
          <w:sz w:val="21"/>
          <w:szCs w:val="21"/>
        </w:rPr>
        <w:t>的组成部分。</w:t>
      </w:r>
    </w:p>
    <w:p w14:paraId="119590AB">
      <w:pPr>
        <w:pageBreakBefore w:val="0"/>
        <w:kinsoku/>
        <w:overflowPunct/>
        <w:bidi w:val="0"/>
        <w:adjustRightInd/>
        <w:spacing w:line="38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当</w:t>
      </w:r>
      <w:r>
        <w:rPr>
          <w:rFonts w:hint="eastAsia" w:ascii="宋体" w:hAnsi="宋体" w:eastAsia="宋体" w:cs="宋体"/>
          <w:sz w:val="21"/>
          <w:szCs w:val="21"/>
          <w:lang w:eastAsia="zh-CN"/>
        </w:rPr>
        <w:t>发包文件</w:t>
      </w:r>
      <w:r>
        <w:rPr>
          <w:rFonts w:hint="eastAsia" w:ascii="宋体" w:hAnsi="宋体" w:eastAsia="宋体" w:cs="宋体"/>
          <w:sz w:val="21"/>
          <w:szCs w:val="21"/>
        </w:rPr>
        <w:t>、</w:t>
      </w:r>
      <w:r>
        <w:rPr>
          <w:rFonts w:hint="eastAsia" w:ascii="宋体" w:hAnsi="宋体" w:eastAsia="宋体" w:cs="宋体"/>
          <w:sz w:val="21"/>
          <w:szCs w:val="21"/>
          <w:lang w:eastAsia="zh-CN"/>
        </w:rPr>
        <w:t>发包文件</w:t>
      </w:r>
      <w:r>
        <w:rPr>
          <w:rFonts w:hint="eastAsia" w:ascii="宋体" w:hAnsi="宋体" w:eastAsia="宋体" w:cs="宋体"/>
          <w:sz w:val="21"/>
          <w:szCs w:val="21"/>
        </w:rPr>
        <w:t>的澄清或修改等在同一内容的表述上不一致时，以最后发出的书面文件为准。</w:t>
      </w:r>
    </w:p>
    <w:p w14:paraId="590930D6">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22" w:name="_Toc452457649"/>
      <w:r>
        <w:rPr>
          <w:rFonts w:hint="eastAsia" w:ascii="宋体" w:hAnsi="宋体" w:eastAsia="宋体" w:cs="宋体"/>
          <w:sz w:val="21"/>
          <w:szCs w:val="21"/>
        </w:rPr>
        <w:t xml:space="preserve">2.2 </w:t>
      </w:r>
      <w:r>
        <w:rPr>
          <w:rFonts w:hint="eastAsia" w:ascii="宋体" w:hAnsi="宋体" w:eastAsia="宋体" w:cs="宋体"/>
          <w:sz w:val="21"/>
          <w:szCs w:val="21"/>
          <w:lang w:eastAsia="zh-CN"/>
        </w:rPr>
        <w:t>发包文件</w:t>
      </w:r>
      <w:r>
        <w:rPr>
          <w:rFonts w:hint="eastAsia" w:ascii="宋体" w:hAnsi="宋体" w:eastAsia="宋体" w:cs="宋体"/>
          <w:sz w:val="21"/>
          <w:szCs w:val="21"/>
        </w:rPr>
        <w:t>的澄清</w:t>
      </w:r>
      <w:bookmarkEnd w:id="122"/>
    </w:p>
    <w:p w14:paraId="2CE2BEB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2.2.1</w:t>
      </w:r>
      <w:r>
        <w:rPr>
          <w:rFonts w:hint="eastAsia" w:ascii="宋体" w:hAnsi="宋体" w:eastAsia="宋体" w:cs="宋体"/>
          <w:sz w:val="21"/>
          <w:szCs w:val="21"/>
          <w:lang w:eastAsia="zh-CN"/>
        </w:rPr>
        <w:t>竞包人</w:t>
      </w:r>
      <w:r>
        <w:rPr>
          <w:rFonts w:hint="eastAsia" w:ascii="宋体" w:hAnsi="宋体" w:eastAsia="宋体" w:cs="宋体"/>
          <w:sz w:val="21"/>
          <w:szCs w:val="21"/>
        </w:rPr>
        <w:t>应仔细阅读和检查</w:t>
      </w:r>
      <w:r>
        <w:rPr>
          <w:rFonts w:hint="eastAsia" w:ascii="宋体" w:hAnsi="宋体" w:eastAsia="宋体" w:cs="宋体"/>
          <w:sz w:val="21"/>
          <w:szCs w:val="21"/>
          <w:lang w:eastAsia="zh-CN"/>
        </w:rPr>
        <w:t>发包文件</w:t>
      </w:r>
      <w:r>
        <w:rPr>
          <w:rFonts w:hint="eastAsia" w:ascii="宋体" w:hAnsi="宋体" w:eastAsia="宋体" w:cs="宋体"/>
          <w:sz w:val="21"/>
          <w:szCs w:val="21"/>
        </w:rPr>
        <w:t>的全部内容。如发现缺页或附件不全，应及时向</w:t>
      </w:r>
      <w:r>
        <w:rPr>
          <w:rFonts w:hint="eastAsia" w:ascii="宋体" w:hAnsi="宋体" w:eastAsia="宋体" w:cs="宋体"/>
          <w:sz w:val="21"/>
          <w:szCs w:val="21"/>
          <w:lang w:eastAsia="zh-CN"/>
        </w:rPr>
        <w:t>发包人</w:t>
      </w:r>
      <w:r>
        <w:rPr>
          <w:rFonts w:hint="eastAsia" w:ascii="宋体" w:hAnsi="宋体" w:eastAsia="宋体" w:cs="宋体"/>
          <w:sz w:val="21"/>
          <w:szCs w:val="21"/>
        </w:rPr>
        <w:t>提出，以便补齐。如有疑问，应在</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须知前附表规定的时间前通过</w:t>
      </w:r>
      <w:r>
        <w:rPr>
          <w:rFonts w:hint="eastAsia" w:ascii="宋体" w:hAnsi="宋体" w:eastAsia="宋体" w:cs="宋体"/>
          <w:snapToGrid w:val="0"/>
          <w:sz w:val="21"/>
          <w:szCs w:val="21"/>
        </w:rPr>
        <w:t>“电子交易平台”</w:t>
      </w:r>
      <w:r>
        <w:rPr>
          <w:rFonts w:hint="eastAsia" w:ascii="宋体" w:hAnsi="宋体" w:eastAsia="宋体" w:cs="宋体"/>
          <w:sz w:val="21"/>
          <w:szCs w:val="21"/>
        </w:rPr>
        <w:t>，要求</w:t>
      </w:r>
      <w:r>
        <w:rPr>
          <w:rFonts w:hint="eastAsia" w:ascii="宋体" w:hAnsi="宋体" w:eastAsia="宋体" w:cs="宋体"/>
          <w:sz w:val="21"/>
          <w:szCs w:val="21"/>
          <w:lang w:eastAsia="zh-CN"/>
        </w:rPr>
        <w:t>发包人</w:t>
      </w:r>
      <w:r>
        <w:rPr>
          <w:rFonts w:hint="eastAsia" w:ascii="宋体" w:hAnsi="宋体" w:eastAsia="宋体" w:cs="宋体"/>
          <w:sz w:val="21"/>
          <w:szCs w:val="21"/>
        </w:rPr>
        <w:t>对</w:t>
      </w:r>
      <w:r>
        <w:rPr>
          <w:rFonts w:hint="eastAsia" w:ascii="宋体" w:hAnsi="宋体" w:eastAsia="宋体" w:cs="宋体"/>
          <w:sz w:val="21"/>
          <w:szCs w:val="21"/>
          <w:lang w:eastAsia="zh-CN"/>
        </w:rPr>
        <w:t>发包文件</w:t>
      </w:r>
      <w:r>
        <w:rPr>
          <w:rFonts w:hint="eastAsia" w:ascii="宋体" w:hAnsi="宋体" w:eastAsia="宋体" w:cs="宋体"/>
          <w:sz w:val="21"/>
          <w:szCs w:val="21"/>
        </w:rPr>
        <w:t>予以澄清。</w:t>
      </w:r>
    </w:p>
    <w:p w14:paraId="419FBD4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2.2.2发包人以竞包人须知前附表规定的形式修改发包文件，并通知所有潜在竞包人。修改发包文件的时间距竞包截止时间不足1日的，相应延长竞包截止时间。修改的内容可能影响竞包文件编制的，发包人将在竞包截止时间至少3日前发布修改文件；不足3日的，发包人应当顺延提交竞包文件的截止时间。</w:t>
      </w:r>
    </w:p>
    <w:p w14:paraId="0313801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2.2.3 </w:t>
      </w:r>
      <w:r>
        <w:rPr>
          <w:rFonts w:hint="eastAsia" w:ascii="宋体" w:hAnsi="宋体" w:eastAsia="宋体" w:cs="宋体"/>
          <w:sz w:val="21"/>
          <w:szCs w:val="21"/>
          <w:lang w:eastAsia="zh-CN"/>
        </w:rPr>
        <w:t>竞包人</w:t>
      </w:r>
      <w:r>
        <w:rPr>
          <w:rFonts w:hint="eastAsia" w:ascii="宋体" w:hAnsi="宋体" w:eastAsia="宋体" w:cs="宋体"/>
          <w:sz w:val="21"/>
          <w:szCs w:val="21"/>
        </w:rPr>
        <w:t>在收到澄清后无需向</w:t>
      </w:r>
      <w:r>
        <w:rPr>
          <w:rFonts w:hint="eastAsia" w:ascii="宋体" w:hAnsi="宋体" w:eastAsia="宋体" w:cs="宋体"/>
          <w:sz w:val="21"/>
          <w:szCs w:val="21"/>
          <w:lang w:eastAsia="zh-CN"/>
        </w:rPr>
        <w:t>发包人</w:t>
      </w:r>
      <w:r>
        <w:rPr>
          <w:rFonts w:hint="eastAsia" w:ascii="宋体" w:hAnsi="宋体" w:eastAsia="宋体" w:cs="宋体"/>
          <w:sz w:val="21"/>
          <w:szCs w:val="21"/>
        </w:rPr>
        <w:t>确认。潜在</w:t>
      </w:r>
      <w:r>
        <w:rPr>
          <w:rFonts w:hint="eastAsia" w:ascii="宋体" w:hAnsi="宋体" w:eastAsia="宋体" w:cs="宋体"/>
          <w:sz w:val="21"/>
          <w:szCs w:val="21"/>
          <w:lang w:eastAsia="zh-CN"/>
        </w:rPr>
        <w:t>竞包人</w:t>
      </w:r>
      <w:r>
        <w:rPr>
          <w:rFonts w:hint="eastAsia" w:ascii="宋体" w:hAnsi="宋体" w:eastAsia="宋体" w:cs="宋体"/>
          <w:sz w:val="21"/>
          <w:szCs w:val="21"/>
        </w:rPr>
        <w:t>应自行关注</w:t>
      </w:r>
      <w:r>
        <w:rPr>
          <w:rFonts w:hint="eastAsia" w:ascii="宋体" w:hAnsi="宋体" w:eastAsia="宋体" w:cs="宋体"/>
          <w:snapToGrid w:val="0"/>
          <w:sz w:val="21"/>
          <w:szCs w:val="21"/>
        </w:rPr>
        <w:t>“电子交易平台”</w:t>
      </w:r>
      <w:r>
        <w:rPr>
          <w:rFonts w:hint="eastAsia" w:ascii="宋体" w:hAnsi="宋体" w:eastAsia="宋体" w:cs="宋体"/>
          <w:sz w:val="21"/>
          <w:szCs w:val="21"/>
        </w:rPr>
        <w:t>，</w:t>
      </w:r>
      <w:r>
        <w:rPr>
          <w:rFonts w:hint="eastAsia" w:ascii="宋体" w:hAnsi="宋体" w:eastAsia="宋体" w:cs="宋体"/>
          <w:sz w:val="21"/>
          <w:szCs w:val="21"/>
          <w:lang w:eastAsia="zh-CN"/>
        </w:rPr>
        <w:t>发包人</w:t>
      </w:r>
      <w:r>
        <w:rPr>
          <w:rFonts w:hint="eastAsia" w:ascii="宋体" w:hAnsi="宋体" w:eastAsia="宋体" w:cs="宋体"/>
          <w:sz w:val="21"/>
          <w:szCs w:val="21"/>
        </w:rPr>
        <w:t>不再一一通知。因</w:t>
      </w:r>
      <w:r>
        <w:rPr>
          <w:rFonts w:hint="eastAsia" w:ascii="宋体" w:hAnsi="宋体" w:eastAsia="宋体" w:cs="宋体"/>
          <w:sz w:val="21"/>
          <w:szCs w:val="21"/>
          <w:lang w:eastAsia="zh-CN"/>
        </w:rPr>
        <w:t>竞包人</w:t>
      </w:r>
      <w:r>
        <w:rPr>
          <w:rFonts w:hint="eastAsia" w:ascii="宋体" w:hAnsi="宋体" w:eastAsia="宋体" w:cs="宋体"/>
          <w:sz w:val="21"/>
          <w:szCs w:val="21"/>
        </w:rPr>
        <w:t>自身原因未及时获知澄清内容而导致的任何后果将由</w:t>
      </w:r>
      <w:r>
        <w:rPr>
          <w:rFonts w:hint="eastAsia" w:ascii="宋体" w:hAnsi="宋体" w:eastAsia="宋体" w:cs="宋体"/>
          <w:sz w:val="21"/>
          <w:szCs w:val="21"/>
          <w:lang w:eastAsia="zh-CN"/>
        </w:rPr>
        <w:t>竞包人</w:t>
      </w:r>
      <w:r>
        <w:rPr>
          <w:rFonts w:hint="eastAsia" w:ascii="宋体" w:hAnsi="宋体" w:eastAsia="宋体" w:cs="宋体"/>
          <w:sz w:val="21"/>
          <w:szCs w:val="21"/>
        </w:rPr>
        <w:t>自行承担。</w:t>
      </w:r>
    </w:p>
    <w:p w14:paraId="0AB552F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2.2.4 除非</w:t>
      </w:r>
      <w:r>
        <w:rPr>
          <w:rFonts w:hint="eastAsia" w:ascii="宋体" w:hAnsi="宋体" w:eastAsia="宋体" w:cs="宋体"/>
          <w:sz w:val="21"/>
          <w:szCs w:val="21"/>
          <w:lang w:eastAsia="zh-CN"/>
        </w:rPr>
        <w:t>发包人</w:t>
      </w:r>
      <w:r>
        <w:rPr>
          <w:rFonts w:hint="eastAsia" w:ascii="宋体" w:hAnsi="宋体" w:eastAsia="宋体" w:cs="宋体"/>
          <w:sz w:val="21"/>
          <w:szCs w:val="21"/>
        </w:rPr>
        <w:t>认为确有必要答复，否则，</w:t>
      </w:r>
      <w:r>
        <w:rPr>
          <w:rFonts w:hint="eastAsia" w:ascii="宋体" w:hAnsi="宋体" w:eastAsia="宋体" w:cs="宋体"/>
          <w:sz w:val="21"/>
          <w:szCs w:val="21"/>
          <w:lang w:eastAsia="zh-CN"/>
        </w:rPr>
        <w:t>发包人</w:t>
      </w:r>
      <w:r>
        <w:rPr>
          <w:rFonts w:hint="eastAsia" w:ascii="宋体" w:hAnsi="宋体" w:eastAsia="宋体" w:cs="宋体"/>
          <w:sz w:val="21"/>
          <w:szCs w:val="21"/>
        </w:rPr>
        <w:t>有权拒绝回复</w:t>
      </w:r>
      <w:r>
        <w:rPr>
          <w:rFonts w:hint="eastAsia" w:ascii="宋体" w:hAnsi="宋体" w:eastAsia="宋体" w:cs="宋体"/>
          <w:sz w:val="21"/>
          <w:szCs w:val="21"/>
          <w:lang w:eastAsia="zh-CN"/>
        </w:rPr>
        <w:t>竞包人</w:t>
      </w:r>
      <w:r>
        <w:rPr>
          <w:rFonts w:hint="eastAsia" w:ascii="宋体" w:hAnsi="宋体" w:eastAsia="宋体" w:cs="宋体"/>
          <w:sz w:val="21"/>
          <w:szCs w:val="21"/>
        </w:rPr>
        <w:t>在本章第2.2.1项规定的时间后提出的任何澄清要求。</w:t>
      </w:r>
    </w:p>
    <w:p w14:paraId="4EACAC18">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23" w:name="_Toc452457650"/>
      <w:r>
        <w:rPr>
          <w:rFonts w:hint="eastAsia" w:ascii="宋体" w:hAnsi="宋体" w:eastAsia="宋体" w:cs="宋体"/>
          <w:sz w:val="21"/>
          <w:szCs w:val="21"/>
        </w:rPr>
        <w:t xml:space="preserve">2.3 </w:t>
      </w:r>
      <w:r>
        <w:rPr>
          <w:rFonts w:hint="eastAsia" w:ascii="宋体" w:hAnsi="宋体" w:eastAsia="宋体" w:cs="宋体"/>
          <w:sz w:val="21"/>
          <w:szCs w:val="21"/>
          <w:lang w:eastAsia="zh-CN"/>
        </w:rPr>
        <w:t>发包文件</w:t>
      </w:r>
      <w:r>
        <w:rPr>
          <w:rFonts w:hint="eastAsia" w:ascii="宋体" w:hAnsi="宋体" w:eastAsia="宋体" w:cs="宋体"/>
          <w:sz w:val="21"/>
          <w:szCs w:val="21"/>
        </w:rPr>
        <w:t>的修改</w:t>
      </w:r>
      <w:bookmarkEnd w:id="123"/>
    </w:p>
    <w:p w14:paraId="5EF18D6E">
      <w:pPr>
        <w:pageBreakBefore w:val="0"/>
        <w:kinsoku/>
        <w:overflowPunct/>
        <w:bidi w:val="0"/>
        <w:adjustRightInd/>
        <w:spacing w:line="380" w:lineRule="exact"/>
        <w:ind w:firstLine="435"/>
        <w:jc w:val="left"/>
        <w:textAlignment w:val="auto"/>
        <w:rPr>
          <w:rFonts w:hint="eastAsia" w:ascii="宋体" w:hAnsi="宋体" w:eastAsia="宋体" w:cs="宋体"/>
          <w:sz w:val="21"/>
          <w:szCs w:val="21"/>
        </w:rPr>
      </w:pPr>
      <w:r>
        <w:rPr>
          <w:rFonts w:hint="eastAsia" w:ascii="宋体" w:hAnsi="宋体" w:eastAsia="宋体" w:cs="宋体"/>
          <w:sz w:val="21"/>
          <w:szCs w:val="21"/>
        </w:rPr>
        <w:t>2.3.1</w:t>
      </w:r>
      <w:r>
        <w:rPr>
          <w:rFonts w:hint="eastAsia" w:ascii="宋体" w:hAnsi="宋体" w:eastAsia="宋体" w:cs="宋体"/>
          <w:sz w:val="21"/>
          <w:szCs w:val="21"/>
          <w:lang w:eastAsia="zh-CN"/>
        </w:rPr>
        <w:t>发包人</w:t>
      </w:r>
      <w:r>
        <w:rPr>
          <w:rFonts w:hint="eastAsia" w:ascii="宋体" w:hAnsi="宋体" w:eastAsia="宋体" w:cs="宋体"/>
          <w:sz w:val="21"/>
          <w:szCs w:val="21"/>
        </w:rPr>
        <w:t>可以修改</w:t>
      </w:r>
      <w:r>
        <w:rPr>
          <w:rFonts w:hint="eastAsia" w:ascii="宋体" w:hAnsi="宋体" w:eastAsia="宋体" w:cs="宋体"/>
          <w:sz w:val="21"/>
          <w:szCs w:val="21"/>
          <w:lang w:eastAsia="zh-CN"/>
        </w:rPr>
        <w:t>发包文件</w:t>
      </w:r>
      <w:r>
        <w:rPr>
          <w:rFonts w:hint="eastAsia" w:ascii="宋体" w:hAnsi="宋体" w:eastAsia="宋体" w:cs="宋体"/>
          <w:sz w:val="21"/>
          <w:szCs w:val="21"/>
        </w:rPr>
        <w:t>，以电子文件形式上传</w:t>
      </w:r>
      <w:r>
        <w:rPr>
          <w:rFonts w:hint="eastAsia" w:ascii="宋体" w:hAnsi="宋体" w:eastAsia="宋体" w:cs="宋体"/>
          <w:snapToGrid w:val="0"/>
          <w:sz w:val="21"/>
          <w:szCs w:val="21"/>
        </w:rPr>
        <w:t>“电子交易平台”</w:t>
      </w:r>
      <w:r>
        <w:rPr>
          <w:rFonts w:hint="eastAsia" w:ascii="宋体" w:hAnsi="宋体" w:eastAsia="宋体" w:cs="宋体"/>
          <w:sz w:val="21"/>
          <w:szCs w:val="21"/>
        </w:rPr>
        <w:t>供潜在</w:t>
      </w:r>
      <w:r>
        <w:rPr>
          <w:rFonts w:hint="eastAsia" w:ascii="宋体" w:hAnsi="宋体" w:eastAsia="宋体" w:cs="宋体"/>
          <w:sz w:val="21"/>
          <w:szCs w:val="21"/>
          <w:lang w:eastAsia="zh-CN"/>
        </w:rPr>
        <w:t>竞包人</w:t>
      </w:r>
      <w:r>
        <w:rPr>
          <w:rFonts w:hint="eastAsia" w:ascii="宋体" w:hAnsi="宋体" w:eastAsia="宋体" w:cs="宋体"/>
          <w:sz w:val="21"/>
          <w:szCs w:val="21"/>
        </w:rPr>
        <w:t>自行下载。修改</w:t>
      </w:r>
      <w:r>
        <w:rPr>
          <w:rFonts w:hint="eastAsia" w:ascii="宋体" w:hAnsi="宋体" w:eastAsia="宋体" w:cs="宋体"/>
          <w:sz w:val="21"/>
          <w:szCs w:val="21"/>
          <w:lang w:eastAsia="zh-CN"/>
        </w:rPr>
        <w:t>发包文件</w:t>
      </w:r>
      <w:r>
        <w:rPr>
          <w:rFonts w:hint="eastAsia" w:ascii="宋体" w:hAnsi="宋体" w:eastAsia="宋体" w:cs="宋体"/>
          <w:sz w:val="21"/>
          <w:szCs w:val="21"/>
        </w:rPr>
        <w:t>的时间距本章第4.2.1项规定的</w:t>
      </w:r>
      <w:r>
        <w:rPr>
          <w:rFonts w:hint="eastAsia" w:ascii="宋体" w:hAnsi="宋体" w:eastAsia="宋体" w:cs="宋体"/>
          <w:sz w:val="21"/>
          <w:szCs w:val="21"/>
          <w:lang w:eastAsia="zh-CN"/>
        </w:rPr>
        <w:t>竞包</w:t>
      </w:r>
      <w:r>
        <w:rPr>
          <w:rFonts w:hint="eastAsia" w:ascii="宋体" w:hAnsi="宋体" w:eastAsia="宋体" w:cs="宋体"/>
          <w:sz w:val="21"/>
          <w:szCs w:val="21"/>
        </w:rPr>
        <w:t>截止时间不足</w:t>
      </w:r>
      <w:r>
        <w:rPr>
          <w:rFonts w:hint="eastAsia" w:ascii="宋体" w:hAnsi="宋体" w:eastAsia="宋体" w:cs="宋体"/>
          <w:sz w:val="21"/>
          <w:szCs w:val="21"/>
          <w:lang w:val="en-US" w:eastAsia="zh-CN"/>
        </w:rPr>
        <w:t>1</w:t>
      </w:r>
      <w:r>
        <w:rPr>
          <w:rFonts w:hint="eastAsia" w:ascii="宋体" w:hAnsi="宋体" w:eastAsia="宋体" w:cs="宋体"/>
          <w:sz w:val="21"/>
          <w:szCs w:val="21"/>
        </w:rPr>
        <w:t>日，且修改内容可能影响</w:t>
      </w:r>
      <w:r>
        <w:rPr>
          <w:rFonts w:hint="eastAsia" w:ascii="宋体" w:hAnsi="宋体" w:eastAsia="宋体" w:cs="宋体"/>
          <w:sz w:val="21"/>
          <w:szCs w:val="21"/>
          <w:lang w:eastAsia="zh-CN"/>
        </w:rPr>
        <w:t>竞包</w:t>
      </w:r>
      <w:r>
        <w:rPr>
          <w:rFonts w:hint="eastAsia" w:ascii="宋体" w:hAnsi="宋体" w:eastAsia="宋体" w:cs="宋体"/>
          <w:sz w:val="21"/>
          <w:szCs w:val="21"/>
        </w:rPr>
        <w:t>文件编制的，将相应延长</w:t>
      </w:r>
      <w:r>
        <w:rPr>
          <w:rFonts w:hint="eastAsia" w:ascii="宋体" w:hAnsi="宋体" w:eastAsia="宋体" w:cs="宋体"/>
          <w:sz w:val="21"/>
          <w:szCs w:val="21"/>
          <w:lang w:eastAsia="zh-CN"/>
        </w:rPr>
        <w:t>竞包</w:t>
      </w:r>
      <w:r>
        <w:rPr>
          <w:rFonts w:hint="eastAsia" w:ascii="宋体" w:hAnsi="宋体" w:eastAsia="宋体" w:cs="宋体"/>
          <w:sz w:val="21"/>
          <w:szCs w:val="21"/>
        </w:rPr>
        <w:t>截止时间。</w:t>
      </w:r>
    </w:p>
    <w:p w14:paraId="21DC71DA">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2.3.2 </w:t>
      </w:r>
      <w:r>
        <w:rPr>
          <w:rFonts w:hint="eastAsia" w:ascii="宋体" w:hAnsi="宋体" w:eastAsia="宋体" w:cs="宋体"/>
          <w:sz w:val="21"/>
          <w:szCs w:val="21"/>
          <w:lang w:eastAsia="zh-CN"/>
        </w:rPr>
        <w:t>竞包人</w:t>
      </w:r>
      <w:r>
        <w:rPr>
          <w:rFonts w:hint="eastAsia" w:ascii="宋体" w:hAnsi="宋体" w:eastAsia="宋体" w:cs="宋体"/>
          <w:sz w:val="21"/>
          <w:szCs w:val="21"/>
        </w:rPr>
        <w:t>在收到修改内容后无需向</w:t>
      </w:r>
      <w:r>
        <w:rPr>
          <w:rFonts w:hint="eastAsia" w:ascii="宋体" w:hAnsi="宋体" w:eastAsia="宋体" w:cs="宋体"/>
          <w:sz w:val="21"/>
          <w:szCs w:val="21"/>
          <w:lang w:eastAsia="zh-CN"/>
        </w:rPr>
        <w:t>发包人</w:t>
      </w:r>
      <w:r>
        <w:rPr>
          <w:rFonts w:hint="eastAsia" w:ascii="宋体" w:hAnsi="宋体" w:eastAsia="宋体" w:cs="宋体"/>
          <w:sz w:val="21"/>
          <w:szCs w:val="21"/>
        </w:rPr>
        <w:t>确认。潜在</w:t>
      </w:r>
      <w:r>
        <w:rPr>
          <w:rFonts w:hint="eastAsia" w:ascii="宋体" w:hAnsi="宋体" w:eastAsia="宋体" w:cs="宋体"/>
          <w:sz w:val="21"/>
          <w:szCs w:val="21"/>
          <w:lang w:eastAsia="zh-CN"/>
        </w:rPr>
        <w:t>竞包人</w:t>
      </w:r>
      <w:r>
        <w:rPr>
          <w:rFonts w:hint="eastAsia" w:ascii="宋体" w:hAnsi="宋体" w:eastAsia="宋体" w:cs="宋体"/>
          <w:sz w:val="21"/>
          <w:szCs w:val="21"/>
        </w:rPr>
        <w:t>应自行关注</w:t>
      </w:r>
      <w:r>
        <w:rPr>
          <w:rFonts w:hint="eastAsia" w:ascii="宋体" w:hAnsi="宋体" w:eastAsia="宋体" w:cs="宋体"/>
          <w:snapToGrid w:val="0"/>
          <w:sz w:val="21"/>
          <w:szCs w:val="21"/>
        </w:rPr>
        <w:t>“电子交易平台”</w:t>
      </w:r>
      <w:r>
        <w:rPr>
          <w:rFonts w:hint="eastAsia" w:ascii="宋体" w:hAnsi="宋体" w:eastAsia="宋体" w:cs="宋体"/>
          <w:sz w:val="21"/>
          <w:szCs w:val="21"/>
        </w:rPr>
        <w:t>，</w:t>
      </w:r>
      <w:r>
        <w:rPr>
          <w:rFonts w:hint="eastAsia" w:ascii="宋体" w:hAnsi="宋体" w:eastAsia="宋体" w:cs="宋体"/>
          <w:sz w:val="21"/>
          <w:szCs w:val="21"/>
          <w:lang w:eastAsia="zh-CN"/>
        </w:rPr>
        <w:t>发包人</w:t>
      </w:r>
      <w:r>
        <w:rPr>
          <w:rFonts w:hint="eastAsia" w:ascii="宋体" w:hAnsi="宋体" w:eastAsia="宋体" w:cs="宋体"/>
          <w:sz w:val="21"/>
          <w:szCs w:val="21"/>
        </w:rPr>
        <w:t>不再一一通知。因</w:t>
      </w:r>
      <w:r>
        <w:rPr>
          <w:rFonts w:hint="eastAsia" w:ascii="宋体" w:hAnsi="宋体" w:eastAsia="宋体" w:cs="宋体"/>
          <w:sz w:val="21"/>
          <w:szCs w:val="21"/>
          <w:lang w:eastAsia="zh-CN"/>
        </w:rPr>
        <w:t>竞包人</w:t>
      </w:r>
      <w:r>
        <w:rPr>
          <w:rFonts w:hint="eastAsia" w:ascii="宋体" w:hAnsi="宋体" w:eastAsia="宋体" w:cs="宋体"/>
          <w:sz w:val="21"/>
          <w:szCs w:val="21"/>
        </w:rPr>
        <w:t>自身原因未及时获知修改内容而导致的任何后果将由</w:t>
      </w:r>
      <w:r>
        <w:rPr>
          <w:rFonts w:hint="eastAsia" w:ascii="宋体" w:hAnsi="宋体" w:eastAsia="宋体" w:cs="宋体"/>
          <w:sz w:val="21"/>
          <w:szCs w:val="21"/>
          <w:lang w:eastAsia="zh-CN"/>
        </w:rPr>
        <w:t>竞包人</w:t>
      </w:r>
      <w:r>
        <w:rPr>
          <w:rFonts w:hint="eastAsia" w:ascii="宋体" w:hAnsi="宋体" w:eastAsia="宋体" w:cs="宋体"/>
          <w:sz w:val="21"/>
          <w:szCs w:val="21"/>
        </w:rPr>
        <w:t>自行承担。</w:t>
      </w:r>
    </w:p>
    <w:p w14:paraId="38E6693B">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rPr>
      </w:pPr>
      <w:bookmarkStart w:id="124" w:name="_Toc13852"/>
      <w:bookmarkStart w:id="125" w:name="_Toc452457651"/>
      <w:bookmarkStart w:id="126" w:name="_Toc154675042"/>
      <w:bookmarkStart w:id="127" w:name="_Toc29497"/>
      <w:r>
        <w:rPr>
          <w:rFonts w:hint="eastAsia" w:ascii="宋体" w:hAnsi="宋体" w:eastAsia="宋体" w:cs="宋体"/>
          <w:b w:val="0"/>
          <w:sz w:val="21"/>
          <w:szCs w:val="21"/>
        </w:rPr>
        <w:t xml:space="preserve">3. </w:t>
      </w:r>
      <w:r>
        <w:rPr>
          <w:rFonts w:hint="eastAsia" w:ascii="宋体" w:hAnsi="宋体" w:eastAsia="宋体" w:cs="宋体"/>
          <w:b w:val="0"/>
          <w:sz w:val="21"/>
          <w:szCs w:val="21"/>
          <w:lang w:eastAsia="zh-CN"/>
        </w:rPr>
        <w:t>竞包</w:t>
      </w:r>
      <w:r>
        <w:rPr>
          <w:rFonts w:hint="eastAsia" w:ascii="宋体" w:hAnsi="宋体" w:eastAsia="宋体" w:cs="宋体"/>
          <w:b w:val="0"/>
          <w:sz w:val="21"/>
          <w:szCs w:val="21"/>
        </w:rPr>
        <w:t>文件</w:t>
      </w:r>
      <w:bookmarkEnd w:id="124"/>
      <w:bookmarkEnd w:id="125"/>
      <w:bookmarkEnd w:id="126"/>
      <w:bookmarkEnd w:id="127"/>
    </w:p>
    <w:p w14:paraId="247185D0">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28" w:name="_Toc452457652"/>
      <w:r>
        <w:rPr>
          <w:rFonts w:hint="eastAsia" w:ascii="宋体" w:hAnsi="宋体" w:eastAsia="宋体" w:cs="宋体"/>
          <w:sz w:val="21"/>
          <w:szCs w:val="21"/>
        </w:rPr>
        <w:t xml:space="preserve">3.1 </w:t>
      </w:r>
      <w:r>
        <w:rPr>
          <w:rFonts w:hint="eastAsia" w:hAnsi="宋体" w:cs="宋体"/>
          <w:sz w:val="21"/>
          <w:szCs w:val="21"/>
          <w:lang w:eastAsia="zh-CN"/>
        </w:rPr>
        <w:t>竞包</w:t>
      </w:r>
      <w:r>
        <w:rPr>
          <w:rFonts w:hint="eastAsia" w:ascii="宋体" w:hAnsi="宋体" w:eastAsia="宋体" w:cs="宋体"/>
          <w:sz w:val="21"/>
          <w:szCs w:val="21"/>
        </w:rPr>
        <w:t>文件的组成</w:t>
      </w:r>
      <w:bookmarkEnd w:id="128"/>
    </w:p>
    <w:p w14:paraId="5CB9115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3.1.1 </w:t>
      </w:r>
      <w:r>
        <w:rPr>
          <w:rFonts w:hint="eastAsia" w:ascii="宋体" w:hAnsi="宋体" w:cs="宋体"/>
          <w:sz w:val="21"/>
          <w:szCs w:val="21"/>
          <w:lang w:eastAsia="zh-CN"/>
        </w:rPr>
        <w:t>竞包</w:t>
      </w:r>
      <w:r>
        <w:rPr>
          <w:rFonts w:hint="eastAsia" w:ascii="宋体" w:hAnsi="宋体" w:eastAsia="宋体" w:cs="宋体"/>
          <w:sz w:val="21"/>
          <w:szCs w:val="21"/>
        </w:rPr>
        <w:t>文件密封采用</w:t>
      </w:r>
      <w:r>
        <w:rPr>
          <w:rFonts w:hint="eastAsia" w:ascii="宋体" w:hAnsi="宋体" w:eastAsia="宋体" w:cs="宋体"/>
          <w:sz w:val="21"/>
          <w:szCs w:val="21"/>
          <w:lang w:val="en-US" w:eastAsia="zh-CN"/>
        </w:rPr>
        <w:t>单</w:t>
      </w:r>
      <w:r>
        <w:rPr>
          <w:rFonts w:hint="eastAsia" w:ascii="宋体" w:hAnsi="宋体" w:eastAsia="宋体" w:cs="宋体"/>
          <w:sz w:val="21"/>
          <w:szCs w:val="21"/>
        </w:rPr>
        <w:t>信封形式。</w:t>
      </w:r>
      <w:r>
        <w:rPr>
          <w:rFonts w:hint="eastAsia" w:ascii="宋体" w:hAnsi="宋体" w:cs="宋体"/>
          <w:sz w:val="21"/>
          <w:szCs w:val="21"/>
          <w:lang w:eastAsia="zh-CN"/>
        </w:rPr>
        <w:t>竞包</w:t>
      </w:r>
      <w:r>
        <w:rPr>
          <w:rFonts w:hint="eastAsia" w:ascii="宋体" w:hAnsi="宋体" w:eastAsia="宋体" w:cs="宋体"/>
          <w:sz w:val="21"/>
          <w:szCs w:val="21"/>
        </w:rPr>
        <w:t>文件应包括下列内容：</w:t>
      </w:r>
    </w:p>
    <w:p w14:paraId="42D8BCF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（1）竞包文件（封面）；</w:t>
      </w:r>
    </w:p>
    <w:p w14:paraId="0BB2CAFF">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（2）竞包函及竞包函附录</w:t>
      </w:r>
    </w:p>
    <w:p w14:paraId="798F30A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（3）授权委托书或法定代表人身份证明；</w:t>
      </w:r>
    </w:p>
    <w:p w14:paraId="2B41055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（4）联合体协议书（如有）</w:t>
      </w:r>
    </w:p>
    <w:p w14:paraId="6ED6B24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（5）资格审查资料；</w:t>
      </w:r>
    </w:p>
    <w:p w14:paraId="61902F5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（6）承诺函；</w:t>
      </w:r>
    </w:p>
    <w:p w14:paraId="70E8A82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（7）诚信竞包承诺函；</w:t>
      </w:r>
    </w:p>
    <w:p w14:paraId="77E4305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（8）其他资料</w:t>
      </w:r>
      <w:r>
        <w:rPr>
          <w:rFonts w:hint="eastAsia" w:ascii="宋体" w:hAnsi="宋体" w:eastAsia="宋体" w:cs="宋体"/>
          <w:sz w:val="21"/>
          <w:szCs w:val="21"/>
          <w:lang w:eastAsia="zh-CN"/>
        </w:rPr>
        <w:t>。</w:t>
      </w:r>
    </w:p>
    <w:p w14:paraId="56CFCE9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3.1.2 资格审</w:t>
      </w:r>
      <w:r>
        <w:rPr>
          <w:rFonts w:hint="eastAsia" w:ascii="宋体" w:hAnsi="宋体" w:cs="宋体"/>
          <w:sz w:val="21"/>
          <w:szCs w:val="21"/>
          <w:lang w:val="en-US" w:eastAsia="zh-CN"/>
        </w:rPr>
        <w:t>查</w:t>
      </w:r>
      <w:r>
        <w:rPr>
          <w:rFonts w:hint="eastAsia" w:ascii="宋体" w:hAnsi="宋体" w:eastAsia="宋体" w:cs="宋体"/>
          <w:sz w:val="21"/>
          <w:szCs w:val="21"/>
        </w:rPr>
        <w:t>资料复制件内容：</w:t>
      </w:r>
    </w:p>
    <w:p w14:paraId="1FF5736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（1）企业法人营业执照副本和组织机构代码证副本（按照“三证合一”或“五证合一”登记制度进行登记的，可仅提供营业执照副本，下同）扫描件；</w:t>
      </w:r>
    </w:p>
    <w:p w14:paraId="3D23C24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（2）施工资质证书副本扫描件；</w:t>
      </w:r>
    </w:p>
    <w:p w14:paraId="6151175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（3）安全生产许可证副本扫描件；</w:t>
      </w:r>
    </w:p>
    <w:p w14:paraId="7CAEC942">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（4）基本账户开户许可证（或银行出具的基本账户存款证明或基本存款账户信息）的扫描件；</w:t>
      </w:r>
    </w:p>
    <w:p w14:paraId="7FD9E862">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具有公路工程施工总承包特级、一级资质及交通工程专业承包资质的竞包人在交通运输部“全国公路建设市场信用信息管理系统”（https://glxy.mot.gov.cn）从业企业查询（输入从业单位名称或统一社会信用代码查询）网页截图；</w:t>
      </w:r>
    </w:p>
    <w:p w14:paraId="1E71104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cs="宋体"/>
          <w:sz w:val="21"/>
          <w:szCs w:val="21"/>
          <w:lang w:eastAsia="zh-CN"/>
        </w:rPr>
        <w:t>竞包人</w:t>
      </w:r>
      <w:r>
        <w:rPr>
          <w:rFonts w:hint="eastAsia" w:ascii="宋体" w:hAnsi="宋体" w:eastAsia="宋体" w:cs="宋体"/>
          <w:sz w:val="21"/>
          <w:szCs w:val="21"/>
        </w:rPr>
        <w:t>在国家企业信用信息公示系统中基础信息（体现股东及出资详细信息, 如</w:t>
      </w:r>
      <w:r>
        <w:rPr>
          <w:rFonts w:hint="eastAsia" w:ascii="宋体" w:hAnsi="宋体" w:cs="宋体"/>
          <w:sz w:val="21"/>
          <w:szCs w:val="21"/>
          <w:lang w:eastAsia="zh-CN"/>
        </w:rPr>
        <w:t>竞包人</w:t>
      </w:r>
      <w:r>
        <w:rPr>
          <w:rFonts w:hint="eastAsia" w:ascii="宋体" w:hAnsi="宋体" w:eastAsia="宋体" w:cs="宋体"/>
          <w:sz w:val="21"/>
          <w:szCs w:val="21"/>
        </w:rPr>
        <w:t>为法人独资或自然人独资企业的，则体现股东名称信息）的网页截图或由法定的社会验资机构出具的验资报告或注册地市场监督部门出具的股东出资情况证明扫描件；</w:t>
      </w:r>
    </w:p>
    <w:p w14:paraId="29F4FB08">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cs="宋体"/>
          <w:sz w:val="21"/>
          <w:szCs w:val="21"/>
          <w:lang w:eastAsia="zh-CN"/>
        </w:rPr>
        <w:t>竞包人</w:t>
      </w:r>
      <w:r>
        <w:rPr>
          <w:rFonts w:hint="eastAsia" w:ascii="宋体" w:hAnsi="宋体" w:eastAsia="宋体" w:cs="宋体"/>
          <w:sz w:val="21"/>
          <w:szCs w:val="21"/>
        </w:rPr>
        <w:t>提供</w:t>
      </w:r>
      <w:r>
        <w:rPr>
          <w:rFonts w:hint="eastAsia" w:ascii="宋体" w:hAnsi="宋体" w:cs="宋体"/>
          <w:sz w:val="21"/>
          <w:szCs w:val="21"/>
          <w:lang w:eastAsia="zh-CN"/>
        </w:rPr>
        <w:t>发包</w:t>
      </w:r>
      <w:r>
        <w:rPr>
          <w:rFonts w:hint="eastAsia" w:ascii="宋体" w:hAnsi="宋体" w:eastAsia="宋体" w:cs="宋体"/>
          <w:sz w:val="21"/>
          <w:szCs w:val="21"/>
        </w:rPr>
        <w:t>公告发布之日后在“浙江省建筑市场监管公共服务系统”查询</w:t>
      </w:r>
      <w:r>
        <w:rPr>
          <w:rFonts w:hint="eastAsia" w:ascii="宋体" w:hAnsi="宋体" w:cs="宋体"/>
          <w:sz w:val="21"/>
          <w:szCs w:val="21"/>
          <w:lang w:eastAsia="zh-CN"/>
        </w:rPr>
        <w:t>竞包</w:t>
      </w:r>
      <w:r>
        <w:rPr>
          <w:rFonts w:hint="eastAsia" w:ascii="宋体" w:hAnsi="宋体" w:eastAsia="宋体" w:cs="宋体"/>
          <w:sz w:val="21"/>
          <w:szCs w:val="21"/>
        </w:rPr>
        <w:t>所需施工资质的动态核查结果为“合格”的动态核查证明。</w:t>
      </w:r>
      <w:r>
        <w:rPr>
          <w:rFonts w:hint="eastAsia" w:ascii="宋体" w:hAnsi="宋体" w:eastAsia="宋体" w:cs="宋体"/>
          <w:sz w:val="21"/>
          <w:szCs w:val="21"/>
        </w:rPr>
        <w:tab/>
      </w:r>
    </w:p>
    <w:p w14:paraId="645490F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8</w:t>
      </w:r>
      <w:r>
        <w:rPr>
          <w:rFonts w:hint="eastAsia" w:ascii="宋体" w:hAnsi="宋体" w:eastAsia="宋体" w:cs="宋体"/>
          <w:sz w:val="21"/>
          <w:szCs w:val="21"/>
        </w:rPr>
        <w:t>）建造师的注册执业资格证书、“三类人员”B类证书；</w:t>
      </w:r>
    </w:p>
    <w:p w14:paraId="2F90F83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）授权委托人（如有）、项目负责人必须为本单位人员，附</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月（含）以后连续3个月及以上各月份的养老保险到账流水清单（由当地社保部门出具的加盖社保证明章或官方社保查询网站打印件加盖本单位公章)；如参加</w:t>
      </w:r>
      <w:r>
        <w:rPr>
          <w:rFonts w:hint="eastAsia" w:ascii="宋体" w:hAnsi="宋体" w:cs="宋体"/>
          <w:sz w:val="21"/>
          <w:szCs w:val="21"/>
          <w:lang w:eastAsia="zh-CN"/>
        </w:rPr>
        <w:t>竞包人</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月（含）后新成立的企业可提供</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月（含）后任一时段的社会养老保险证明和企业营业执照复制件加盖公章。</w:t>
      </w:r>
    </w:p>
    <w:p w14:paraId="547A48EF">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3.1.3竞包文件提供的文件表式竞包人必须使用，但表式可以按同样格式进行扩展。</w:t>
      </w:r>
    </w:p>
    <w:p w14:paraId="07CEF27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竞包人</w:t>
      </w:r>
      <w:r>
        <w:rPr>
          <w:rFonts w:hint="eastAsia" w:ascii="宋体" w:hAnsi="宋体" w:eastAsia="宋体" w:cs="宋体"/>
          <w:sz w:val="21"/>
          <w:szCs w:val="21"/>
        </w:rPr>
        <w:t>在评标过程中作出的符合法律法规和</w:t>
      </w:r>
      <w:r>
        <w:rPr>
          <w:rFonts w:hint="eastAsia" w:ascii="宋体" w:hAnsi="宋体" w:eastAsia="宋体" w:cs="宋体"/>
          <w:sz w:val="21"/>
          <w:szCs w:val="21"/>
          <w:lang w:eastAsia="zh-CN"/>
        </w:rPr>
        <w:t>发包文件</w:t>
      </w:r>
      <w:r>
        <w:rPr>
          <w:rFonts w:hint="eastAsia" w:ascii="宋体" w:hAnsi="宋体" w:eastAsia="宋体" w:cs="宋体"/>
          <w:sz w:val="21"/>
          <w:szCs w:val="21"/>
        </w:rPr>
        <w:t>规定的澄清确认，构成</w:t>
      </w:r>
      <w:r>
        <w:rPr>
          <w:rFonts w:hint="eastAsia" w:ascii="宋体" w:hAnsi="宋体" w:eastAsia="宋体" w:cs="宋体"/>
          <w:sz w:val="21"/>
          <w:szCs w:val="21"/>
          <w:lang w:eastAsia="zh-CN"/>
        </w:rPr>
        <w:t>竞包</w:t>
      </w:r>
      <w:r>
        <w:rPr>
          <w:rFonts w:hint="eastAsia" w:ascii="宋体" w:hAnsi="宋体" w:eastAsia="宋体" w:cs="宋体"/>
          <w:sz w:val="21"/>
          <w:szCs w:val="21"/>
        </w:rPr>
        <w:t>文件的组成部分。</w:t>
      </w:r>
    </w:p>
    <w:p w14:paraId="59CF49B0">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eastAsia="zh-CN"/>
        </w:rPr>
        <w:t>竞包</w:t>
      </w:r>
      <w:r>
        <w:rPr>
          <w:rFonts w:hint="eastAsia" w:ascii="宋体" w:hAnsi="宋体" w:eastAsia="宋体" w:cs="宋体"/>
          <w:sz w:val="21"/>
          <w:szCs w:val="21"/>
          <w:lang w:val="en-US" w:eastAsia="zh-CN"/>
        </w:rPr>
        <w:t>有效期</w:t>
      </w:r>
    </w:p>
    <w:p w14:paraId="2A9BB2D8">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3.2.1在竞包人须知前附表规定的竞包有效期内，竞包人不得要求撤销或修改其竞包文件。</w:t>
      </w:r>
    </w:p>
    <w:p w14:paraId="6EF26E8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3.2.2在竞包有效期内，竞包人撤销竞包文件的，应承担发包文件和法律规定的责任。</w:t>
      </w:r>
    </w:p>
    <w:p w14:paraId="246E690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3.2.3出现特殊情况需要延长竞包有效期的，发包人以书面形式（或电子交易平台）通知所有竞包人延长竞包有效期。竞包人应予以书面答复，同意延长的，应相应延长其竞包保证金的有效期，但不得要求或被允许修改其竞包文件；竞包人拒绝延长的，其竞包失效，但竞包人有权收回其竞包保证金。</w:t>
      </w:r>
    </w:p>
    <w:p w14:paraId="0E6C59EA">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29" w:name="_Toc452457655"/>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eastAsia="zh-CN"/>
        </w:rPr>
        <w:t>竞包</w:t>
      </w:r>
      <w:r>
        <w:rPr>
          <w:rFonts w:hint="eastAsia" w:ascii="宋体" w:hAnsi="宋体" w:eastAsia="宋体" w:cs="宋体"/>
          <w:sz w:val="21"/>
          <w:szCs w:val="21"/>
        </w:rPr>
        <w:t>保证金</w:t>
      </w:r>
      <w:bookmarkEnd w:id="129"/>
    </w:p>
    <w:p w14:paraId="4295B9D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3.3.1竞包人在递交竞包文件的同时，应按竞包人须知前附表规定的金额、形式递交竞包保证金，并作为其竞包文件的组成部分。</w:t>
      </w:r>
    </w:p>
    <w:p w14:paraId="37FBD95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3.3.2竞包人不按本章第3.3.1项要求递交竞包保证金的，评审委员会将否决其竞包。</w:t>
      </w:r>
    </w:p>
    <w:p w14:paraId="5063D344">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3.3.3竞包保证金的退还：</w:t>
      </w:r>
    </w:p>
    <w:p w14:paraId="1FAE002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3.3.3.1未中</w:t>
      </w:r>
      <w:r>
        <w:rPr>
          <w:rFonts w:hint="eastAsia" w:ascii="宋体" w:hAnsi="宋体" w:cs="宋体"/>
          <w:sz w:val="21"/>
          <w:szCs w:val="21"/>
          <w:lang w:val="en-US" w:eastAsia="zh-CN"/>
        </w:rPr>
        <w:t>包</w:t>
      </w:r>
      <w:r>
        <w:rPr>
          <w:rFonts w:hint="eastAsia" w:ascii="宋体" w:hAnsi="宋体" w:eastAsia="宋体" w:cs="宋体"/>
          <w:sz w:val="21"/>
          <w:szCs w:val="21"/>
        </w:rPr>
        <w:t>单位的竞包保证金最迟在</w:t>
      </w:r>
      <w:r>
        <w:rPr>
          <w:rFonts w:hint="eastAsia" w:ascii="宋体" w:hAnsi="宋体" w:cs="宋体"/>
          <w:sz w:val="21"/>
          <w:szCs w:val="21"/>
          <w:lang w:val="en-US" w:eastAsia="zh-CN"/>
        </w:rPr>
        <w:t>预承包</w:t>
      </w:r>
      <w:r>
        <w:rPr>
          <w:rFonts w:hint="eastAsia" w:ascii="宋体" w:hAnsi="宋体" w:eastAsia="宋体" w:cs="宋体"/>
          <w:sz w:val="21"/>
          <w:szCs w:val="21"/>
        </w:rPr>
        <w:t>通知书发出后5日内退还保证金及银行同期存款利息。</w:t>
      </w:r>
    </w:p>
    <w:p w14:paraId="3B9B9CB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3.3.3.2预承包人的竞包保证金最迟在合同签订后5日内退还保证金及银行同期存款利息。</w:t>
      </w:r>
    </w:p>
    <w:p w14:paraId="23730D8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3.3.4有下列情形之一的，竞包保证金将不予退还：</w:t>
      </w:r>
    </w:p>
    <w:p w14:paraId="0073AD3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（1）在提交竞包文件截止时间后到发包文件规定的竞包有效期终止之前，竞包人撤销其竞包文件的;</w:t>
      </w:r>
    </w:p>
    <w:p w14:paraId="0546625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（2）预承包人在收到《预承包通知书》后，无正当理由不与发包人订立合同，在签订合同时向发包人提出附加条件，或者不按照发包文件要求提交履约担保；</w:t>
      </w:r>
    </w:p>
    <w:p w14:paraId="14E1844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竞包人须知前附表规定的其他情形。</w:t>
      </w:r>
    </w:p>
    <w:p w14:paraId="732935E9">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30" w:name="_Toc452457658"/>
      <w:r>
        <w:rPr>
          <w:rFonts w:hint="eastAsia" w:ascii="宋体" w:hAnsi="宋体" w:eastAsia="宋体" w:cs="宋体"/>
          <w:sz w:val="21"/>
          <w:szCs w:val="21"/>
        </w:rPr>
        <w:t>3.</w:t>
      </w:r>
      <w:r>
        <w:rPr>
          <w:rFonts w:hint="eastAsia" w:hAnsi="宋体" w:cs="宋体"/>
          <w:sz w:val="21"/>
          <w:szCs w:val="21"/>
          <w:lang w:val="en-US" w:eastAsia="zh-CN"/>
        </w:rPr>
        <w:t>4</w:t>
      </w:r>
      <w:r>
        <w:rPr>
          <w:rFonts w:hint="eastAsia" w:ascii="宋体" w:hAnsi="宋体" w:eastAsia="宋体" w:cs="宋体"/>
          <w:sz w:val="21"/>
          <w:szCs w:val="21"/>
        </w:rPr>
        <w:t xml:space="preserve"> 备选</w:t>
      </w:r>
      <w:r>
        <w:rPr>
          <w:rFonts w:hint="eastAsia" w:ascii="宋体" w:hAnsi="宋体" w:eastAsia="宋体" w:cs="宋体"/>
          <w:sz w:val="21"/>
          <w:szCs w:val="21"/>
          <w:lang w:eastAsia="zh-CN"/>
        </w:rPr>
        <w:t>竞包</w:t>
      </w:r>
      <w:r>
        <w:rPr>
          <w:rFonts w:hint="eastAsia" w:ascii="宋体" w:hAnsi="宋体" w:eastAsia="宋体" w:cs="宋体"/>
          <w:sz w:val="21"/>
          <w:szCs w:val="21"/>
        </w:rPr>
        <w:t>方案</w:t>
      </w:r>
      <w:bookmarkEnd w:id="130"/>
    </w:p>
    <w:p w14:paraId="49B94E7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竞包人不得递交备选竞包方案，否则其竞包将被否决。</w:t>
      </w:r>
    </w:p>
    <w:p w14:paraId="4C779D1E">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31" w:name="_Toc452457659"/>
      <w:r>
        <w:rPr>
          <w:rFonts w:hint="eastAsia" w:ascii="宋体" w:hAnsi="宋体" w:eastAsia="宋体" w:cs="宋体"/>
          <w:sz w:val="21"/>
          <w:szCs w:val="21"/>
        </w:rPr>
        <w:t>3.</w:t>
      </w:r>
      <w:r>
        <w:rPr>
          <w:rFonts w:hint="eastAsia" w:hAnsi="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eastAsia="zh-CN"/>
        </w:rPr>
        <w:t>竞包</w:t>
      </w:r>
      <w:r>
        <w:rPr>
          <w:rFonts w:hint="eastAsia" w:ascii="宋体" w:hAnsi="宋体" w:eastAsia="宋体" w:cs="宋体"/>
          <w:sz w:val="21"/>
          <w:szCs w:val="21"/>
        </w:rPr>
        <w:t>文件的编制</w:t>
      </w:r>
      <w:bookmarkEnd w:id="131"/>
    </w:p>
    <w:p w14:paraId="72474E2F">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.1竞包文件应按第</w:t>
      </w:r>
      <w:r>
        <w:rPr>
          <w:rFonts w:hint="eastAsia" w:ascii="宋体" w:hAnsi="宋体" w:eastAsia="宋体" w:cs="宋体"/>
          <w:sz w:val="21"/>
          <w:szCs w:val="21"/>
          <w:lang w:val="en-US" w:eastAsia="zh-CN"/>
        </w:rPr>
        <w:t>九</w:t>
      </w:r>
      <w:r>
        <w:rPr>
          <w:rFonts w:hint="eastAsia" w:ascii="宋体" w:hAnsi="宋体" w:eastAsia="宋体" w:cs="宋体"/>
          <w:sz w:val="21"/>
          <w:szCs w:val="21"/>
        </w:rPr>
        <w:t>章“竞包文件格式”进行编写，如有必要，可以增加附页，作为竞包文件的组成部分。其中，竞包函附录在满足发包文件实质性要求的基础上，可以提出比发包文件要求更有利于发包人的承诺。竞包文件应尽量避免涂改、行间插字或删除。</w:t>
      </w:r>
    </w:p>
    <w:p w14:paraId="37384C1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.2竞包文件应当对发包文件有关工期、竞包有效期、质量要求、技术标准和要求、发包范围等实质性内容作出响应。</w:t>
      </w:r>
    </w:p>
    <w:p w14:paraId="39DD17D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.3电子竞包的要求</w:t>
      </w:r>
    </w:p>
    <w:p w14:paraId="3B2EC72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（1）电子竞包文件签字或盖章的具体要求见竞包人须知前附表。</w:t>
      </w:r>
    </w:p>
    <w:p w14:paraId="748BA81A">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（2）电子竞包文件制作</w:t>
      </w:r>
      <w:r>
        <w:rPr>
          <w:rFonts w:hint="eastAsia" w:ascii="宋体" w:hAnsi="宋体" w:cs="宋体"/>
          <w:sz w:val="21"/>
          <w:szCs w:val="21"/>
          <w:lang w:val="en-US" w:eastAsia="zh-CN"/>
        </w:rPr>
        <w:t>及加密</w:t>
      </w:r>
      <w:r>
        <w:rPr>
          <w:rFonts w:hint="eastAsia" w:ascii="宋体" w:hAnsi="宋体" w:eastAsia="宋体" w:cs="宋体"/>
          <w:sz w:val="21"/>
          <w:szCs w:val="21"/>
        </w:rPr>
        <w:t>要求详见本章附件1“电子竞包文件制作相关规定”。</w:t>
      </w:r>
    </w:p>
    <w:p w14:paraId="6C5AA34A">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.4竞包文件格式</w:t>
      </w:r>
    </w:p>
    <w:p w14:paraId="13FFD381">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竞包文件包括本须知第3.1条中规定的内容，竞包人提交的竞包文件应使用发包文件所提供的竞包文件全部格式(表格可以按同样格式扩展)。</w:t>
      </w:r>
    </w:p>
    <w:p w14:paraId="16F539FE">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lang w:eastAsia="zh-CN"/>
        </w:rPr>
      </w:pPr>
      <w:bookmarkStart w:id="132" w:name="_Toc154675043"/>
      <w:bookmarkStart w:id="133" w:name="_Toc452457660"/>
      <w:bookmarkStart w:id="134" w:name="_Toc3780"/>
      <w:bookmarkStart w:id="135" w:name="_Toc23261"/>
      <w:r>
        <w:rPr>
          <w:rFonts w:hint="eastAsia" w:ascii="宋体" w:hAnsi="宋体" w:eastAsia="宋体" w:cs="宋体"/>
          <w:b w:val="0"/>
          <w:sz w:val="21"/>
          <w:szCs w:val="21"/>
        </w:rPr>
        <w:t xml:space="preserve">4. </w:t>
      </w:r>
      <w:bookmarkEnd w:id="132"/>
      <w:bookmarkEnd w:id="133"/>
      <w:r>
        <w:rPr>
          <w:rFonts w:hint="eastAsia" w:ascii="宋体" w:hAnsi="宋体" w:eastAsia="宋体" w:cs="宋体"/>
          <w:b w:val="0"/>
          <w:sz w:val="21"/>
          <w:szCs w:val="21"/>
          <w:lang w:eastAsia="zh-CN"/>
        </w:rPr>
        <w:t>竞包</w:t>
      </w:r>
      <w:bookmarkEnd w:id="134"/>
      <w:bookmarkEnd w:id="135"/>
    </w:p>
    <w:p w14:paraId="79CDCC38">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36" w:name="_Toc452457661"/>
      <w:r>
        <w:rPr>
          <w:rFonts w:hint="eastAsia" w:ascii="宋体" w:hAnsi="宋体" w:eastAsia="宋体" w:cs="宋体"/>
          <w:sz w:val="21"/>
          <w:szCs w:val="21"/>
        </w:rPr>
        <w:t xml:space="preserve">4.1 </w:t>
      </w:r>
      <w:r>
        <w:rPr>
          <w:rFonts w:hint="eastAsia" w:ascii="宋体" w:hAnsi="宋体" w:eastAsia="宋体" w:cs="宋体"/>
          <w:sz w:val="21"/>
          <w:szCs w:val="21"/>
          <w:lang w:eastAsia="zh-CN"/>
        </w:rPr>
        <w:t>竞包</w:t>
      </w:r>
      <w:r>
        <w:rPr>
          <w:rFonts w:hint="eastAsia" w:ascii="宋体" w:hAnsi="宋体" w:eastAsia="宋体" w:cs="宋体"/>
          <w:sz w:val="21"/>
          <w:szCs w:val="21"/>
        </w:rPr>
        <w:t>文件的密封和标识</w:t>
      </w:r>
      <w:bookmarkEnd w:id="136"/>
    </w:p>
    <w:p w14:paraId="3C57BD50">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4.1.1竞包文件的密封、标记和电子竞包加密要求见竞包人须知前附表。</w:t>
      </w:r>
    </w:p>
    <w:p w14:paraId="2C502544">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37" w:name="_Toc452457662"/>
      <w:r>
        <w:rPr>
          <w:rFonts w:hint="eastAsia" w:ascii="宋体" w:hAnsi="宋体" w:eastAsia="宋体" w:cs="宋体"/>
          <w:sz w:val="21"/>
          <w:szCs w:val="21"/>
        </w:rPr>
        <w:t xml:space="preserve">4.2 </w:t>
      </w:r>
      <w:r>
        <w:rPr>
          <w:rFonts w:hint="eastAsia" w:ascii="宋体" w:hAnsi="宋体" w:eastAsia="宋体" w:cs="宋体"/>
          <w:sz w:val="21"/>
          <w:szCs w:val="21"/>
          <w:lang w:eastAsia="zh-CN"/>
        </w:rPr>
        <w:t>竞包</w:t>
      </w:r>
      <w:r>
        <w:rPr>
          <w:rFonts w:hint="eastAsia" w:ascii="宋体" w:hAnsi="宋体" w:eastAsia="宋体" w:cs="宋体"/>
          <w:sz w:val="21"/>
          <w:szCs w:val="21"/>
        </w:rPr>
        <w:t>文件的递交</w:t>
      </w:r>
      <w:bookmarkEnd w:id="137"/>
    </w:p>
    <w:p w14:paraId="0F2737C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4.2.1竞包人应在竞包人须知前附表规定的竞包截止时间前递交竞包文件。</w:t>
      </w:r>
    </w:p>
    <w:p w14:paraId="3E20104C">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4.2.2</w:t>
      </w:r>
      <w:r>
        <w:rPr>
          <w:rFonts w:hint="eastAsia" w:ascii="宋体" w:hAnsi="宋体"/>
        </w:rPr>
        <w:t>竞包人</w:t>
      </w:r>
      <w:r>
        <w:rPr>
          <w:rFonts w:hint="eastAsia" w:ascii="宋体" w:hAnsi="宋体"/>
          <w:lang w:val="en-US" w:eastAsia="zh-CN"/>
        </w:rPr>
        <w:t>通过泰顺县小额工程阳光交易系统</w:t>
      </w:r>
      <w:r>
        <w:rPr>
          <w:rFonts w:hint="eastAsia" w:ascii="宋体" w:hAnsi="宋体"/>
        </w:rPr>
        <w:t>递交电子竞包文件。</w:t>
      </w:r>
    </w:p>
    <w:p w14:paraId="5E3893A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4.2.3除竞包人须知前附表另有规定外，竞包人所递交的竞包文件不予退还。</w:t>
      </w:r>
    </w:p>
    <w:p w14:paraId="7F696E28">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4.2.4电子竞包文件的拒收情形：见竞包人须知前附表。</w:t>
      </w:r>
      <w:bookmarkStart w:id="138" w:name="_Toc452457663"/>
    </w:p>
    <w:p w14:paraId="239CBDA3">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4.3 </w:t>
      </w:r>
      <w:r>
        <w:rPr>
          <w:rFonts w:hint="eastAsia" w:ascii="宋体" w:hAnsi="宋体" w:eastAsia="宋体" w:cs="宋体"/>
          <w:sz w:val="21"/>
          <w:szCs w:val="21"/>
          <w:lang w:eastAsia="zh-CN"/>
        </w:rPr>
        <w:t>竞包</w:t>
      </w:r>
      <w:r>
        <w:rPr>
          <w:rFonts w:hint="eastAsia" w:ascii="宋体" w:hAnsi="宋体" w:eastAsia="宋体" w:cs="宋体"/>
          <w:sz w:val="21"/>
          <w:szCs w:val="21"/>
        </w:rPr>
        <w:t>文件的修改与撤回</w:t>
      </w:r>
      <w:bookmarkEnd w:id="138"/>
    </w:p>
    <w:p w14:paraId="379C6C42">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4.3.1在本章第4.2.1项规定的竞包截止时间前，竞包人可以修改或撤回已递交的竞包文件，但应以书面形式通知发包人。竞包截止时间前未完成竞包文件传输的，视为撤回竞包文件。</w:t>
      </w:r>
    </w:p>
    <w:p w14:paraId="40028C15">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4.3.2修改的内容为竞包文件的组成部分。修改的竞包文件应按照本章第3条、第4条的规定进行编制、密封、标记和递交，并标明“修改”字样。</w:t>
      </w:r>
    </w:p>
    <w:p w14:paraId="17E7D32F">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lang w:val="en-US" w:eastAsia="zh-CN"/>
        </w:rPr>
      </w:pPr>
      <w:bookmarkStart w:id="139" w:name="_Toc21492"/>
      <w:bookmarkStart w:id="140" w:name="_Toc24938"/>
      <w:bookmarkStart w:id="141" w:name="_Toc154675044"/>
      <w:bookmarkStart w:id="142" w:name="_Toc452457664"/>
      <w:r>
        <w:rPr>
          <w:rFonts w:hint="eastAsia" w:ascii="宋体" w:hAnsi="宋体" w:eastAsia="宋体" w:cs="宋体"/>
          <w:b w:val="0"/>
          <w:sz w:val="21"/>
          <w:szCs w:val="21"/>
        </w:rPr>
        <w:t xml:space="preserve">5. </w:t>
      </w:r>
      <w:bookmarkEnd w:id="139"/>
      <w:bookmarkEnd w:id="140"/>
      <w:bookmarkEnd w:id="141"/>
      <w:bookmarkEnd w:id="142"/>
      <w:r>
        <w:rPr>
          <w:rFonts w:hint="eastAsia" w:ascii="宋体" w:hAnsi="宋体" w:eastAsia="宋体" w:cs="宋体"/>
          <w:b w:val="0"/>
          <w:sz w:val="21"/>
          <w:szCs w:val="21"/>
        </w:rPr>
        <w:t>交易</w:t>
      </w:r>
      <w:r>
        <w:rPr>
          <w:rFonts w:hint="eastAsia" w:ascii="宋体" w:hAnsi="宋体" w:eastAsia="宋体" w:cs="宋体"/>
          <w:b w:val="0"/>
          <w:sz w:val="21"/>
          <w:szCs w:val="21"/>
          <w:lang w:val="en-US" w:eastAsia="zh-CN"/>
        </w:rPr>
        <w:t>会</w:t>
      </w:r>
    </w:p>
    <w:p w14:paraId="2F1C167B">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43" w:name="_Toc452457666"/>
      <w:r>
        <w:rPr>
          <w:rFonts w:hint="eastAsia" w:ascii="宋体" w:hAnsi="宋体" w:eastAsia="宋体" w:cs="宋体"/>
          <w:sz w:val="21"/>
          <w:szCs w:val="21"/>
        </w:rPr>
        <w:t>5.1 时间和地点</w:t>
      </w:r>
      <w:bookmarkEnd w:id="143"/>
    </w:p>
    <w:p w14:paraId="7313EC5B">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见竞包人须知前附表。</w:t>
      </w:r>
    </w:p>
    <w:p w14:paraId="5FD749E1">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44" w:name="_Toc452457667"/>
      <w:r>
        <w:rPr>
          <w:rFonts w:hint="eastAsia" w:ascii="宋体" w:hAnsi="宋体" w:eastAsia="宋体" w:cs="宋体"/>
          <w:sz w:val="21"/>
          <w:szCs w:val="21"/>
        </w:rPr>
        <w:t xml:space="preserve">5.2 </w:t>
      </w:r>
      <w:r>
        <w:rPr>
          <w:rFonts w:hint="eastAsia" w:ascii="宋体" w:hAnsi="宋体" w:eastAsia="宋体" w:cs="宋体"/>
          <w:b w:val="0"/>
          <w:sz w:val="21"/>
          <w:szCs w:val="21"/>
        </w:rPr>
        <w:t>交易</w:t>
      </w:r>
      <w:r>
        <w:rPr>
          <w:rFonts w:hint="eastAsia" w:ascii="宋体" w:hAnsi="宋体" w:eastAsia="宋体" w:cs="宋体"/>
          <w:sz w:val="21"/>
          <w:szCs w:val="21"/>
        </w:rPr>
        <w:t>程序</w:t>
      </w:r>
      <w:bookmarkEnd w:id="144"/>
    </w:p>
    <w:p w14:paraId="20DE69F7">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bookmarkStart w:id="145" w:name="_Toc452457668"/>
      <w:r>
        <w:rPr>
          <w:rFonts w:hint="eastAsia" w:ascii="宋体" w:hAnsi="宋体" w:eastAsia="宋体" w:cs="宋体"/>
          <w:sz w:val="21"/>
          <w:szCs w:val="21"/>
        </w:rPr>
        <w:t>见</w:t>
      </w:r>
      <w:bookmarkEnd w:id="145"/>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63C4169C">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lang w:val="en-US" w:eastAsia="zh-CN"/>
        </w:rPr>
      </w:pPr>
      <w:bookmarkStart w:id="146" w:name="_Toc452457669"/>
      <w:bookmarkStart w:id="147" w:name="_Toc12060"/>
      <w:bookmarkStart w:id="148" w:name="_Toc32072"/>
      <w:bookmarkStart w:id="149" w:name="_Toc154675045"/>
      <w:r>
        <w:rPr>
          <w:rFonts w:hint="eastAsia" w:ascii="宋体" w:hAnsi="宋体" w:eastAsia="宋体" w:cs="宋体"/>
          <w:b w:val="0"/>
          <w:sz w:val="21"/>
          <w:szCs w:val="21"/>
        </w:rPr>
        <w:t>6. 评</w:t>
      </w:r>
      <w:bookmarkEnd w:id="146"/>
      <w:bookmarkEnd w:id="147"/>
      <w:bookmarkEnd w:id="148"/>
      <w:bookmarkEnd w:id="149"/>
      <w:r>
        <w:rPr>
          <w:rFonts w:hint="eastAsia" w:ascii="宋体" w:hAnsi="宋体" w:eastAsia="宋体" w:cs="宋体"/>
          <w:b w:val="0"/>
          <w:sz w:val="21"/>
          <w:szCs w:val="21"/>
          <w:lang w:val="en-US" w:eastAsia="zh-CN"/>
        </w:rPr>
        <w:t>审</w:t>
      </w:r>
    </w:p>
    <w:p w14:paraId="7A6F79CE">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50" w:name="_Toc452457670"/>
      <w:r>
        <w:rPr>
          <w:rFonts w:hint="eastAsia" w:ascii="宋体" w:hAnsi="宋体" w:eastAsia="宋体" w:cs="宋体"/>
          <w:sz w:val="21"/>
          <w:szCs w:val="21"/>
        </w:rPr>
        <w:t>6.1 评</w:t>
      </w:r>
      <w:r>
        <w:rPr>
          <w:rFonts w:hint="eastAsia" w:hAnsi="宋体" w:cs="宋体"/>
          <w:sz w:val="21"/>
          <w:szCs w:val="21"/>
          <w:lang w:val="en-US" w:eastAsia="zh-CN"/>
        </w:rPr>
        <w:t>审</w:t>
      </w:r>
      <w:r>
        <w:rPr>
          <w:rFonts w:hint="eastAsia" w:ascii="宋体" w:hAnsi="宋体" w:eastAsia="宋体" w:cs="宋体"/>
          <w:sz w:val="21"/>
          <w:szCs w:val="21"/>
        </w:rPr>
        <w:t>委员会</w:t>
      </w:r>
      <w:bookmarkEnd w:id="150"/>
    </w:p>
    <w:p w14:paraId="6CE15E1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6.1.1评审由发包人依法组建的评审委员会负责。评审委员会由发包人或其委托的发包代理机构熟悉相关业务的代表，以及有关技术、经济等方面的专家组成。评审委员会成员人数以及技术、经济等方面专家的确定方式见竞包人须知前附表。</w:t>
      </w:r>
    </w:p>
    <w:p w14:paraId="2E39529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6.1.2 </w:t>
      </w:r>
      <w:r>
        <w:rPr>
          <w:rFonts w:hint="eastAsia" w:ascii="宋体" w:hAnsi="宋体" w:cs="宋体"/>
          <w:sz w:val="21"/>
          <w:szCs w:val="21"/>
          <w:lang w:val="en-US" w:eastAsia="zh-CN"/>
        </w:rPr>
        <w:t>评</w:t>
      </w:r>
      <w:r>
        <w:rPr>
          <w:rFonts w:hint="eastAsia" w:ascii="宋体" w:hAnsi="宋体" w:eastAsia="宋体" w:cs="宋体"/>
          <w:sz w:val="21"/>
          <w:szCs w:val="21"/>
        </w:rPr>
        <w:t>审委员会成员有下列情形之一的，应主动提出回避：</w:t>
      </w:r>
    </w:p>
    <w:p w14:paraId="736E5180">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（1）为负责</w:t>
      </w:r>
      <w:r>
        <w:rPr>
          <w:rFonts w:hint="eastAsia" w:ascii="宋体" w:hAnsi="宋体" w:cs="宋体"/>
          <w:sz w:val="21"/>
          <w:szCs w:val="21"/>
          <w:lang w:eastAsia="zh-CN"/>
        </w:rPr>
        <w:t>发包</w:t>
      </w:r>
      <w:r>
        <w:rPr>
          <w:rFonts w:hint="eastAsia" w:ascii="宋体" w:hAnsi="宋体" w:eastAsia="宋体" w:cs="宋体"/>
          <w:sz w:val="21"/>
          <w:szCs w:val="21"/>
        </w:rPr>
        <w:t>项目监督管理的交通运输主管部门的工作人员；</w:t>
      </w:r>
    </w:p>
    <w:p w14:paraId="690B5658">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（2）与</w:t>
      </w:r>
      <w:r>
        <w:rPr>
          <w:rFonts w:hint="eastAsia" w:ascii="宋体" w:hAnsi="宋体" w:eastAsia="宋体" w:cs="宋体"/>
          <w:sz w:val="21"/>
          <w:szCs w:val="21"/>
          <w:lang w:eastAsia="zh-CN"/>
        </w:rPr>
        <w:t>竞包人</w:t>
      </w:r>
      <w:r>
        <w:rPr>
          <w:rFonts w:hint="eastAsia" w:ascii="宋体" w:hAnsi="宋体" w:eastAsia="宋体" w:cs="宋体"/>
          <w:sz w:val="21"/>
          <w:szCs w:val="21"/>
        </w:rPr>
        <w:t>法定代表人或者授权参与</w:t>
      </w:r>
      <w:r>
        <w:rPr>
          <w:rFonts w:hint="eastAsia" w:ascii="宋体" w:hAnsi="宋体" w:eastAsia="宋体" w:cs="宋体"/>
          <w:sz w:val="21"/>
          <w:szCs w:val="21"/>
          <w:lang w:eastAsia="zh-CN"/>
        </w:rPr>
        <w:t>竞包</w:t>
      </w:r>
      <w:r>
        <w:rPr>
          <w:rFonts w:hint="eastAsia" w:ascii="宋体" w:hAnsi="宋体" w:eastAsia="宋体" w:cs="宋体"/>
          <w:sz w:val="21"/>
          <w:szCs w:val="21"/>
        </w:rPr>
        <w:t>的代理人有近亲属关系的人员；</w:t>
      </w:r>
    </w:p>
    <w:p w14:paraId="452DDB29">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竞包人</w:t>
      </w:r>
      <w:r>
        <w:rPr>
          <w:rFonts w:hint="eastAsia" w:ascii="宋体" w:hAnsi="宋体" w:eastAsia="宋体" w:cs="宋体"/>
          <w:sz w:val="21"/>
          <w:szCs w:val="21"/>
        </w:rPr>
        <w:t>的工作人员或者退休人员；</w:t>
      </w:r>
    </w:p>
    <w:p w14:paraId="54456F5E">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（4）与</w:t>
      </w:r>
      <w:r>
        <w:rPr>
          <w:rFonts w:hint="eastAsia" w:ascii="宋体" w:hAnsi="宋体" w:eastAsia="宋体" w:cs="宋体"/>
          <w:sz w:val="21"/>
          <w:szCs w:val="21"/>
          <w:lang w:eastAsia="zh-CN"/>
        </w:rPr>
        <w:t>竞包人</w:t>
      </w:r>
      <w:r>
        <w:rPr>
          <w:rFonts w:hint="eastAsia" w:ascii="宋体" w:hAnsi="宋体" w:eastAsia="宋体" w:cs="宋体"/>
          <w:sz w:val="21"/>
          <w:szCs w:val="21"/>
        </w:rPr>
        <w:t>有其他利害关系，可能影响评</w:t>
      </w:r>
      <w:r>
        <w:rPr>
          <w:rFonts w:hint="eastAsia" w:ascii="宋体" w:hAnsi="宋体" w:cs="宋体"/>
          <w:sz w:val="21"/>
          <w:szCs w:val="21"/>
          <w:lang w:val="en-US" w:eastAsia="zh-CN"/>
        </w:rPr>
        <w:t>审</w:t>
      </w:r>
      <w:r>
        <w:rPr>
          <w:rFonts w:hint="eastAsia" w:ascii="宋体" w:hAnsi="宋体" w:eastAsia="宋体" w:cs="宋体"/>
          <w:sz w:val="21"/>
          <w:szCs w:val="21"/>
        </w:rPr>
        <w:t>活动公正性的人员；</w:t>
      </w:r>
    </w:p>
    <w:p w14:paraId="1672717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（5）在与</w:t>
      </w:r>
      <w:r>
        <w:rPr>
          <w:rFonts w:hint="eastAsia" w:ascii="宋体" w:hAnsi="宋体" w:eastAsia="宋体" w:cs="宋体"/>
          <w:sz w:val="21"/>
          <w:szCs w:val="21"/>
          <w:lang w:eastAsia="zh-CN"/>
        </w:rPr>
        <w:t>竞包</w:t>
      </w:r>
      <w:r>
        <w:rPr>
          <w:rFonts w:hint="eastAsia" w:ascii="宋体" w:hAnsi="宋体" w:eastAsia="宋体" w:cs="宋体"/>
          <w:sz w:val="21"/>
          <w:szCs w:val="21"/>
        </w:rPr>
        <w:t>有关的活动中有过违法违规行为、曾受过行政处罚或者刑事处罚的人员。</w:t>
      </w:r>
    </w:p>
    <w:p w14:paraId="5958E130">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发包人</w:t>
      </w:r>
      <w:r>
        <w:rPr>
          <w:rFonts w:hint="eastAsia" w:ascii="宋体" w:hAnsi="宋体" w:eastAsia="宋体" w:cs="宋体"/>
          <w:sz w:val="21"/>
          <w:szCs w:val="21"/>
        </w:rPr>
        <w:t>及其子公司、</w:t>
      </w:r>
      <w:r>
        <w:rPr>
          <w:rFonts w:hint="eastAsia" w:ascii="宋体" w:hAnsi="宋体" w:eastAsia="宋体" w:cs="宋体"/>
          <w:sz w:val="21"/>
          <w:szCs w:val="21"/>
          <w:lang w:eastAsia="zh-CN"/>
        </w:rPr>
        <w:t>发包人</w:t>
      </w:r>
      <w:r>
        <w:rPr>
          <w:rFonts w:hint="eastAsia" w:ascii="宋体" w:hAnsi="宋体" w:eastAsia="宋体" w:cs="宋体"/>
          <w:sz w:val="21"/>
          <w:szCs w:val="21"/>
        </w:rPr>
        <w:t>的上级主管部门或者控股公司、</w:t>
      </w:r>
      <w:r>
        <w:rPr>
          <w:rFonts w:hint="eastAsia" w:ascii="宋体" w:hAnsi="宋体" w:cs="宋体"/>
          <w:sz w:val="21"/>
          <w:szCs w:val="21"/>
          <w:lang w:eastAsia="zh-CN"/>
        </w:rPr>
        <w:t>中介代理机构</w:t>
      </w:r>
      <w:r>
        <w:rPr>
          <w:rFonts w:hint="eastAsia" w:ascii="宋体" w:hAnsi="宋体" w:eastAsia="宋体" w:cs="宋体"/>
          <w:sz w:val="21"/>
          <w:szCs w:val="21"/>
        </w:rPr>
        <w:t>的工作人员或者退休人员不得以专家身份参与本单位</w:t>
      </w:r>
      <w:r>
        <w:rPr>
          <w:rFonts w:hint="eastAsia" w:ascii="宋体" w:hAnsi="宋体" w:cs="宋体"/>
          <w:sz w:val="21"/>
          <w:szCs w:val="21"/>
          <w:lang w:eastAsia="zh-CN"/>
        </w:rPr>
        <w:t>发包</w:t>
      </w:r>
      <w:r>
        <w:rPr>
          <w:rFonts w:hint="eastAsia" w:ascii="宋体" w:hAnsi="宋体" w:eastAsia="宋体" w:cs="宋体"/>
          <w:sz w:val="21"/>
          <w:szCs w:val="21"/>
        </w:rPr>
        <w:t>或者</w:t>
      </w:r>
      <w:r>
        <w:rPr>
          <w:rFonts w:hint="eastAsia" w:ascii="宋体" w:hAnsi="宋体" w:cs="宋体"/>
          <w:sz w:val="21"/>
          <w:szCs w:val="21"/>
          <w:lang w:eastAsia="zh-CN"/>
        </w:rPr>
        <w:t>发包</w:t>
      </w:r>
      <w:r>
        <w:rPr>
          <w:rFonts w:hint="eastAsia" w:ascii="宋体" w:hAnsi="宋体" w:eastAsia="宋体" w:cs="宋体"/>
          <w:sz w:val="21"/>
          <w:szCs w:val="21"/>
        </w:rPr>
        <w:t>代理项目的评</w:t>
      </w:r>
      <w:r>
        <w:rPr>
          <w:rFonts w:hint="eastAsia" w:ascii="宋体" w:hAnsi="宋体" w:cs="宋体"/>
          <w:sz w:val="21"/>
          <w:szCs w:val="21"/>
          <w:lang w:val="en-US" w:eastAsia="zh-CN"/>
        </w:rPr>
        <w:t>审</w:t>
      </w:r>
      <w:r>
        <w:rPr>
          <w:rFonts w:hint="eastAsia" w:ascii="宋体" w:hAnsi="宋体" w:eastAsia="宋体" w:cs="宋体"/>
          <w:sz w:val="21"/>
          <w:szCs w:val="21"/>
        </w:rPr>
        <w:t>。</w:t>
      </w:r>
    </w:p>
    <w:p w14:paraId="536577F2">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6.1.3 评</w:t>
      </w:r>
      <w:r>
        <w:rPr>
          <w:rFonts w:hint="eastAsia" w:ascii="宋体" w:hAnsi="宋体" w:cs="宋体"/>
          <w:sz w:val="21"/>
          <w:szCs w:val="21"/>
          <w:lang w:val="en-US" w:eastAsia="zh-CN"/>
        </w:rPr>
        <w:t>审</w:t>
      </w:r>
      <w:r>
        <w:rPr>
          <w:rFonts w:hint="eastAsia" w:ascii="宋体" w:hAnsi="宋体" w:eastAsia="宋体" w:cs="宋体"/>
          <w:sz w:val="21"/>
          <w:szCs w:val="21"/>
        </w:rPr>
        <w:t>过程中，评</w:t>
      </w:r>
      <w:r>
        <w:rPr>
          <w:rFonts w:hint="eastAsia" w:ascii="宋体" w:hAnsi="宋体" w:cs="宋体"/>
          <w:sz w:val="21"/>
          <w:szCs w:val="21"/>
          <w:lang w:val="en-US" w:eastAsia="zh-CN"/>
        </w:rPr>
        <w:t>审</w:t>
      </w:r>
      <w:r>
        <w:rPr>
          <w:rFonts w:hint="eastAsia" w:ascii="宋体" w:hAnsi="宋体" w:eastAsia="宋体" w:cs="宋体"/>
          <w:sz w:val="21"/>
          <w:szCs w:val="21"/>
        </w:rPr>
        <w:t>委员会成员有回避事由、擅离职守或因健康等原因不能继续评</w:t>
      </w:r>
      <w:r>
        <w:rPr>
          <w:rFonts w:hint="eastAsia" w:ascii="宋体" w:hAnsi="宋体" w:cs="宋体"/>
          <w:sz w:val="21"/>
          <w:szCs w:val="21"/>
          <w:lang w:val="en-US" w:eastAsia="zh-CN"/>
        </w:rPr>
        <w:t>审</w:t>
      </w:r>
      <w:r>
        <w:rPr>
          <w:rFonts w:hint="eastAsia" w:ascii="宋体" w:hAnsi="宋体" w:eastAsia="宋体" w:cs="宋体"/>
          <w:sz w:val="21"/>
          <w:szCs w:val="21"/>
        </w:rPr>
        <w:t>的，</w:t>
      </w:r>
      <w:r>
        <w:rPr>
          <w:rFonts w:hint="eastAsia" w:ascii="宋体" w:hAnsi="宋体" w:eastAsia="宋体" w:cs="宋体"/>
          <w:sz w:val="21"/>
          <w:szCs w:val="21"/>
          <w:lang w:eastAsia="zh-CN"/>
        </w:rPr>
        <w:t>发包人</w:t>
      </w:r>
      <w:r>
        <w:rPr>
          <w:rFonts w:hint="eastAsia" w:ascii="宋体" w:hAnsi="宋体" w:eastAsia="宋体" w:cs="宋体"/>
          <w:sz w:val="21"/>
          <w:szCs w:val="21"/>
        </w:rPr>
        <w:t>有权更换。被更换的评</w:t>
      </w:r>
      <w:r>
        <w:rPr>
          <w:rFonts w:hint="eastAsia" w:ascii="宋体" w:hAnsi="宋体" w:cs="宋体"/>
          <w:sz w:val="21"/>
          <w:szCs w:val="21"/>
          <w:lang w:val="en-US" w:eastAsia="zh-CN"/>
        </w:rPr>
        <w:t>审</w:t>
      </w:r>
      <w:r>
        <w:rPr>
          <w:rFonts w:hint="eastAsia" w:ascii="宋体" w:hAnsi="宋体" w:eastAsia="宋体" w:cs="宋体"/>
          <w:sz w:val="21"/>
          <w:szCs w:val="21"/>
        </w:rPr>
        <w:t>委员会成员作出的评审结论无效，由更换后的评</w:t>
      </w:r>
      <w:r>
        <w:rPr>
          <w:rFonts w:hint="eastAsia" w:ascii="宋体" w:hAnsi="宋体" w:cs="宋体"/>
          <w:sz w:val="21"/>
          <w:szCs w:val="21"/>
          <w:lang w:val="en-US" w:eastAsia="zh-CN"/>
        </w:rPr>
        <w:t>审</w:t>
      </w:r>
      <w:r>
        <w:rPr>
          <w:rFonts w:hint="eastAsia" w:ascii="宋体" w:hAnsi="宋体" w:eastAsia="宋体" w:cs="宋体"/>
          <w:sz w:val="21"/>
          <w:szCs w:val="21"/>
        </w:rPr>
        <w:t>委员会成员重新进行评审。</w:t>
      </w:r>
    </w:p>
    <w:p w14:paraId="575C385D">
      <w:pPr>
        <w:pStyle w:val="81"/>
        <w:pageBreakBefore w:val="0"/>
        <w:tabs>
          <w:tab w:val="left" w:pos="2620"/>
        </w:tabs>
        <w:kinsoku/>
        <w:overflowPunct/>
        <w:bidi w:val="0"/>
        <w:adjustRightInd/>
        <w:spacing w:line="380" w:lineRule="exact"/>
        <w:ind w:firstLine="420"/>
        <w:jc w:val="left"/>
        <w:textAlignment w:val="auto"/>
        <w:rPr>
          <w:rFonts w:hint="eastAsia" w:ascii="宋体" w:hAnsi="宋体" w:eastAsia="宋体" w:cs="宋体"/>
          <w:sz w:val="21"/>
          <w:szCs w:val="21"/>
        </w:rPr>
      </w:pPr>
      <w:bookmarkStart w:id="151" w:name="_Toc452457671"/>
      <w:r>
        <w:rPr>
          <w:rFonts w:hint="eastAsia" w:ascii="宋体" w:hAnsi="宋体" w:eastAsia="宋体" w:cs="宋体"/>
          <w:sz w:val="21"/>
          <w:szCs w:val="21"/>
        </w:rPr>
        <w:t>6.2 评标原则</w:t>
      </w:r>
      <w:bookmarkEnd w:id="151"/>
    </w:p>
    <w:p w14:paraId="63CE0580">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评</w:t>
      </w:r>
      <w:r>
        <w:rPr>
          <w:rFonts w:hint="eastAsia" w:ascii="宋体" w:hAnsi="宋体" w:cs="宋体"/>
          <w:sz w:val="21"/>
          <w:szCs w:val="21"/>
          <w:lang w:val="en-US" w:eastAsia="zh-CN"/>
        </w:rPr>
        <w:t>审</w:t>
      </w:r>
      <w:r>
        <w:rPr>
          <w:rFonts w:hint="eastAsia" w:ascii="宋体" w:hAnsi="宋体" w:eastAsia="宋体" w:cs="宋体"/>
          <w:sz w:val="21"/>
          <w:szCs w:val="21"/>
        </w:rPr>
        <w:t>活动遵循公平、公正、科学和择优的原则。</w:t>
      </w:r>
    </w:p>
    <w:p w14:paraId="796F5D15">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lang w:eastAsia="zh-CN"/>
        </w:rPr>
      </w:pPr>
      <w:bookmarkStart w:id="152" w:name="_Toc452457672"/>
      <w:r>
        <w:rPr>
          <w:rFonts w:hint="eastAsia" w:ascii="宋体" w:hAnsi="宋体" w:eastAsia="宋体" w:cs="宋体"/>
          <w:sz w:val="21"/>
          <w:szCs w:val="21"/>
        </w:rPr>
        <w:t>6.3 评</w:t>
      </w:r>
      <w:bookmarkEnd w:id="152"/>
      <w:r>
        <w:rPr>
          <w:rFonts w:hint="eastAsia" w:hAnsi="宋体" w:cs="宋体"/>
          <w:sz w:val="21"/>
          <w:szCs w:val="21"/>
          <w:lang w:val="en-US" w:eastAsia="zh-CN"/>
        </w:rPr>
        <w:t>审</w:t>
      </w:r>
    </w:p>
    <w:p w14:paraId="631EA2C3">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6.3.1 评</w:t>
      </w:r>
      <w:r>
        <w:rPr>
          <w:rFonts w:hint="eastAsia" w:ascii="宋体" w:hAnsi="宋体" w:cs="宋体"/>
          <w:sz w:val="21"/>
          <w:szCs w:val="21"/>
          <w:lang w:val="en-US" w:eastAsia="zh-CN"/>
        </w:rPr>
        <w:t>审</w:t>
      </w:r>
      <w:r>
        <w:rPr>
          <w:rFonts w:hint="eastAsia" w:ascii="宋体" w:hAnsi="宋体" w:eastAsia="宋体" w:cs="宋体"/>
          <w:sz w:val="21"/>
          <w:szCs w:val="21"/>
        </w:rPr>
        <w:t>委员会按照第三章“评</w:t>
      </w:r>
      <w:r>
        <w:rPr>
          <w:rFonts w:hint="eastAsia" w:ascii="宋体" w:hAnsi="宋体" w:eastAsia="宋体" w:cs="宋体"/>
          <w:sz w:val="21"/>
          <w:szCs w:val="21"/>
          <w:lang w:val="en-US" w:eastAsia="zh-CN"/>
        </w:rPr>
        <w:t>审</w:t>
      </w:r>
      <w:r>
        <w:rPr>
          <w:rFonts w:hint="eastAsia" w:ascii="宋体" w:hAnsi="宋体" w:eastAsia="宋体" w:cs="宋体"/>
          <w:sz w:val="21"/>
          <w:szCs w:val="21"/>
        </w:rPr>
        <w:t>办法”规定的方法、评审因素、标准和程序对</w:t>
      </w:r>
      <w:r>
        <w:rPr>
          <w:rFonts w:hint="eastAsia" w:ascii="宋体" w:hAnsi="宋体" w:eastAsia="宋体" w:cs="宋体"/>
          <w:sz w:val="21"/>
          <w:szCs w:val="21"/>
          <w:lang w:eastAsia="zh-CN"/>
        </w:rPr>
        <w:t>竞包</w:t>
      </w:r>
      <w:r>
        <w:rPr>
          <w:rFonts w:hint="eastAsia" w:ascii="宋体" w:hAnsi="宋体" w:eastAsia="宋体" w:cs="宋体"/>
          <w:sz w:val="21"/>
          <w:szCs w:val="21"/>
        </w:rPr>
        <w:t>文件进行评审。第三章“评</w:t>
      </w:r>
      <w:r>
        <w:rPr>
          <w:rFonts w:hint="eastAsia" w:ascii="宋体" w:hAnsi="宋体" w:eastAsia="宋体" w:cs="宋体"/>
          <w:sz w:val="21"/>
          <w:szCs w:val="21"/>
          <w:lang w:val="en-US" w:eastAsia="zh-CN"/>
        </w:rPr>
        <w:t>审</w:t>
      </w:r>
      <w:r>
        <w:rPr>
          <w:rFonts w:hint="eastAsia" w:ascii="宋体" w:hAnsi="宋体" w:eastAsia="宋体" w:cs="宋体"/>
          <w:sz w:val="21"/>
          <w:szCs w:val="21"/>
        </w:rPr>
        <w:t>办法”没有规定的方法、评审因素和标准，不作为评</w:t>
      </w:r>
      <w:r>
        <w:rPr>
          <w:rFonts w:hint="eastAsia" w:ascii="宋体" w:hAnsi="宋体" w:cs="宋体"/>
          <w:sz w:val="21"/>
          <w:szCs w:val="21"/>
          <w:lang w:val="en-US" w:eastAsia="zh-CN"/>
        </w:rPr>
        <w:t>审</w:t>
      </w:r>
      <w:r>
        <w:rPr>
          <w:rFonts w:hint="eastAsia" w:ascii="宋体" w:hAnsi="宋体" w:eastAsia="宋体" w:cs="宋体"/>
          <w:sz w:val="21"/>
          <w:szCs w:val="21"/>
        </w:rPr>
        <w:t>依据。</w:t>
      </w:r>
    </w:p>
    <w:p w14:paraId="2D0BB226">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bookmarkStart w:id="153" w:name="EB083aca0714e544d9aa7bd641ad807fb3"/>
      <w:r>
        <w:rPr>
          <w:rFonts w:hint="eastAsia" w:ascii="宋体" w:hAnsi="宋体" w:eastAsia="宋体" w:cs="宋体"/>
          <w:sz w:val="21"/>
          <w:szCs w:val="21"/>
        </w:rPr>
        <w:t>6.3.2 评</w:t>
      </w:r>
      <w:r>
        <w:rPr>
          <w:rFonts w:hint="eastAsia" w:ascii="宋体" w:hAnsi="宋体" w:cs="宋体"/>
          <w:sz w:val="21"/>
          <w:szCs w:val="21"/>
          <w:lang w:val="en-US" w:eastAsia="zh-CN"/>
        </w:rPr>
        <w:t>审</w:t>
      </w:r>
      <w:r>
        <w:rPr>
          <w:rFonts w:hint="eastAsia" w:ascii="宋体" w:hAnsi="宋体" w:eastAsia="宋体" w:cs="宋体"/>
          <w:sz w:val="21"/>
          <w:szCs w:val="21"/>
        </w:rPr>
        <w:t>完成后，评</w:t>
      </w:r>
      <w:r>
        <w:rPr>
          <w:rFonts w:hint="eastAsia" w:ascii="宋体" w:hAnsi="宋体" w:cs="宋体"/>
          <w:sz w:val="21"/>
          <w:szCs w:val="21"/>
          <w:lang w:val="en-US" w:eastAsia="zh-CN"/>
        </w:rPr>
        <w:t>审</w:t>
      </w:r>
      <w:r>
        <w:rPr>
          <w:rFonts w:hint="eastAsia" w:ascii="宋体" w:hAnsi="宋体" w:eastAsia="宋体" w:cs="宋体"/>
          <w:sz w:val="21"/>
          <w:szCs w:val="21"/>
        </w:rPr>
        <w:t>委员会应向</w:t>
      </w:r>
      <w:r>
        <w:rPr>
          <w:rFonts w:hint="eastAsia" w:ascii="宋体" w:hAnsi="宋体" w:eastAsia="宋体" w:cs="宋体"/>
          <w:sz w:val="21"/>
          <w:szCs w:val="21"/>
          <w:lang w:eastAsia="zh-CN"/>
        </w:rPr>
        <w:t>发包人</w:t>
      </w:r>
      <w:r>
        <w:rPr>
          <w:rFonts w:hint="eastAsia" w:ascii="宋体" w:hAnsi="宋体" w:eastAsia="宋体" w:cs="宋体"/>
          <w:sz w:val="21"/>
          <w:szCs w:val="21"/>
        </w:rPr>
        <w:t>提交书面评</w:t>
      </w:r>
      <w:r>
        <w:rPr>
          <w:rFonts w:hint="eastAsia" w:ascii="宋体" w:hAnsi="宋体" w:cs="宋体"/>
          <w:sz w:val="21"/>
          <w:szCs w:val="21"/>
          <w:lang w:val="en-US" w:eastAsia="zh-CN"/>
        </w:rPr>
        <w:t>审</w:t>
      </w:r>
      <w:r>
        <w:rPr>
          <w:rFonts w:hint="eastAsia" w:ascii="宋体" w:hAnsi="宋体" w:eastAsia="宋体" w:cs="宋体"/>
          <w:sz w:val="21"/>
          <w:szCs w:val="21"/>
        </w:rPr>
        <w:t>报告和</w:t>
      </w:r>
      <w:r>
        <w:rPr>
          <w:rFonts w:hint="eastAsia" w:ascii="宋体" w:hAnsi="宋体" w:cs="宋体"/>
          <w:sz w:val="21"/>
          <w:szCs w:val="21"/>
          <w:lang w:val="en-US" w:eastAsia="zh-CN"/>
        </w:rPr>
        <w:t>承包</w:t>
      </w:r>
      <w:r>
        <w:rPr>
          <w:rFonts w:hint="eastAsia" w:ascii="宋体" w:hAnsi="宋体" w:eastAsia="宋体" w:cs="宋体"/>
          <w:sz w:val="21"/>
          <w:szCs w:val="21"/>
        </w:rPr>
        <w:t>候选人名单。评</w:t>
      </w:r>
      <w:r>
        <w:rPr>
          <w:rFonts w:hint="eastAsia" w:ascii="宋体" w:hAnsi="宋体" w:cs="宋体"/>
          <w:sz w:val="21"/>
          <w:szCs w:val="21"/>
          <w:lang w:val="en-US" w:eastAsia="zh-CN"/>
        </w:rPr>
        <w:t>审</w:t>
      </w:r>
      <w:r>
        <w:rPr>
          <w:rFonts w:hint="eastAsia" w:ascii="宋体" w:hAnsi="宋体" w:eastAsia="宋体" w:cs="宋体"/>
          <w:sz w:val="21"/>
          <w:szCs w:val="21"/>
        </w:rPr>
        <w:t>委员会推荐承包候选人的数量见</w:t>
      </w:r>
      <w:r>
        <w:rPr>
          <w:rFonts w:hint="eastAsia" w:ascii="宋体" w:hAnsi="宋体" w:eastAsia="宋体" w:cs="宋体"/>
          <w:sz w:val="21"/>
          <w:szCs w:val="21"/>
          <w:lang w:eastAsia="zh-CN"/>
        </w:rPr>
        <w:t>竞包人</w:t>
      </w:r>
      <w:r>
        <w:rPr>
          <w:rFonts w:hint="eastAsia" w:ascii="宋体" w:hAnsi="宋体" w:eastAsia="宋体" w:cs="宋体"/>
          <w:sz w:val="21"/>
          <w:szCs w:val="21"/>
        </w:rPr>
        <w:t>须知前附表。</w:t>
      </w:r>
    </w:p>
    <w:p w14:paraId="1226CB1F">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6.3.3评</w:t>
      </w:r>
      <w:r>
        <w:rPr>
          <w:rFonts w:hint="eastAsia" w:ascii="宋体" w:hAnsi="宋体" w:cs="宋体"/>
          <w:sz w:val="21"/>
          <w:szCs w:val="21"/>
          <w:lang w:val="en-US" w:eastAsia="zh-CN"/>
        </w:rPr>
        <w:t>审</w:t>
      </w:r>
      <w:r>
        <w:rPr>
          <w:rFonts w:hint="eastAsia" w:ascii="宋体" w:hAnsi="宋体" w:eastAsia="宋体" w:cs="宋体"/>
          <w:sz w:val="21"/>
          <w:szCs w:val="21"/>
        </w:rPr>
        <w:t xml:space="preserve">及补救措施 </w:t>
      </w:r>
    </w:p>
    <w:p w14:paraId="75807C4D">
      <w:pPr>
        <w:pageBreakBefore w:val="0"/>
        <w:kinsoku/>
        <w:overflowPunct/>
        <w:bidi w:val="0"/>
        <w:adjustRightInd/>
        <w:spacing w:line="3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评</w:t>
      </w:r>
      <w:r>
        <w:rPr>
          <w:rFonts w:hint="eastAsia" w:ascii="宋体" w:hAnsi="宋体" w:cs="宋体"/>
          <w:sz w:val="21"/>
          <w:szCs w:val="21"/>
          <w:lang w:val="en-US" w:eastAsia="zh-CN"/>
        </w:rPr>
        <w:t>审</w:t>
      </w:r>
      <w:r>
        <w:rPr>
          <w:rFonts w:hint="eastAsia" w:ascii="宋体" w:hAnsi="宋体" w:eastAsia="宋体" w:cs="宋体"/>
          <w:sz w:val="21"/>
          <w:szCs w:val="21"/>
        </w:rPr>
        <w:t>委员会按照本章第 6.3.1 项的规定在电子评标系统上开展评审工作。如果评</w:t>
      </w:r>
      <w:r>
        <w:rPr>
          <w:rFonts w:hint="eastAsia" w:ascii="宋体" w:hAnsi="宋体" w:cs="宋体"/>
          <w:sz w:val="21"/>
          <w:szCs w:val="21"/>
          <w:lang w:val="en-US" w:eastAsia="zh-CN"/>
        </w:rPr>
        <w:t>审</w:t>
      </w:r>
      <w:r>
        <w:rPr>
          <w:rFonts w:hint="eastAsia" w:ascii="宋体" w:hAnsi="宋体" w:eastAsia="宋体" w:cs="宋体"/>
          <w:sz w:val="21"/>
          <w:szCs w:val="21"/>
        </w:rPr>
        <w:t>过程中出现异常情况，导致无法继续评审工作的，可暂停评</w:t>
      </w:r>
      <w:r>
        <w:rPr>
          <w:rFonts w:hint="eastAsia" w:ascii="宋体" w:hAnsi="宋体" w:cs="宋体"/>
          <w:sz w:val="21"/>
          <w:szCs w:val="21"/>
          <w:lang w:val="en-US" w:eastAsia="zh-CN"/>
        </w:rPr>
        <w:t>审</w:t>
      </w:r>
      <w:r>
        <w:rPr>
          <w:rFonts w:hint="eastAsia" w:ascii="宋体" w:hAnsi="宋体" w:eastAsia="宋体" w:cs="宋体"/>
          <w:sz w:val="21"/>
          <w:szCs w:val="21"/>
        </w:rPr>
        <w:t>，对原有资料及信息作出妥善保密处理，待电子评</w:t>
      </w:r>
      <w:r>
        <w:rPr>
          <w:rFonts w:hint="eastAsia" w:ascii="宋体" w:hAnsi="宋体" w:cs="宋体"/>
          <w:sz w:val="21"/>
          <w:szCs w:val="21"/>
          <w:lang w:val="en-US" w:eastAsia="zh-CN"/>
        </w:rPr>
        <w:t>审</w:t>
      </w:r>
      <w:r>
        <w:rPr>
          <w:rFonts w:hint="eastAsia" w:ascii="宋体" w:hAnsi="宋体" w:eastAsia="宋体" w:cs="宋体"/>
          <w:sz w:val="21"/>
          <w:szCs w:val="21"/>
        </w:rPr>
        <w:t>系统恢复正常之后，应重新组织评审。</w:t>
      </w:r>
      <w:bookmarkEnd w:id="153"/>
    </w:p>
    <w:p w14:paraId="54A2AEC4">
      <w:pPr>
        <w:pStyle w:val="5"/>
        <w:pageBreakBefore w:val="0"/>
        <w:kinsoku/>
        <w:overflowPunct/>
        <w:bidi w:val="0"/>
        <w:adjustRightInd/>
        <w:spacing w:before="0" w:after="0" w:line="380" w:lineRule="exact"/>
        <w:jc w:val="left"/>
        <w:textAlignment w:val="auto"/>
        <w:rPr>
          <w:rFonts w:hint="eastAsia" w:ascii="宋体" w:hAnsi="宋体" w:eastAsia="宋体" w:cs="宋体"/>
          <w:b w:val="0"/>
          <w:sz w:val="21"/>
          <w:szCs w:val="21"/>
        </w:rPr>
      </w:pPr>
      <w:bookmarkStart w:id="154" w:name="_Toc9040"/>
      <w:bookmarkStart w:id="155" w:name="_Toc452457673"/>
      <w:bookmarkStart w:id="156" w:name="_Toc154675046"/>
      <w:bookmarkStart w:id="157" w:name="_Toc5358"/>
      <w:r>
        <w:rPr>
          <w:rFonts w:hint="eastAsia" w:ascii="宋体" w:hAnsi="宋体" w:eastAsia="宋体" w:cs="宋体"/>
          <w:b w:val="0"/>
          <w:sz w:val="21"/>
          <w:szCs w:val="21"/>
        </w:rPr>
        <w:t>7. 合同授予</w:t>
      </w:r>
      <w:bookmarkEnd w:id="154"/>
      <w:bookmarkEnd w:id="155"/>
      <w:bookmarkEnd w:id="156"/>
      <w:bookmarkEnd w:id="157"/>
    </w:p>
    <w:p w14:paraId="6600142C">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bookmarkStart w:id="158" w:name="_Toc452457674"/>
      <w:r>
        <w:rPr>
          <w:rFonts w:hint="eastAsia" w:ascii="宋体" w:hAnsi="宋体" w:eastAsia="宋体" w:cs="宋体"/>
          <w:sz w:val="21"/>
          <w:szCs w:val="21"/>
        </w:rPr>
        <w:t>7.1 预承包公示媒介及期限</w:t>
      </w:r>
    </w:p>
    <w:p w14:paraId="71DBFDE9">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预承包公示媒介及期限见竞包人须知前附表。</w:t>
      </w:r>
    </w:p>
    <w:p w14:paraId="7A8A2E54">
      <w:pPr>
        <w:pStyle w:val="81"/>
        <w:pageBreakBefore w:val="0"/>
        <w:kinsoku/>
        <w:overflowPunct/>
        <w:bidi w:val="0"/>
        <w:adjustRightInd/>
        <w:spacing w:line="380" w:lineRule="exact"/>
        <w:ind w:firstLine="42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 xml:space="preserve">7.2 </w:t>
      </w:r>
      <w:r>
        <w:rPr>
          <w:rFonts w:hint="eastAsia" w:hAnsi="宋体" w:cs="宋体"/>
          <w:sz w:val="21"/>
          <w:szCs w:val="21"/>
          <w:lang w:val="en-US" w:eastAsia="zh-CN"/>
        </w:rPr>
        <w:t>承包候选人确定</w:t>
      </w:r>
    </w:p>
    <w:p w14:paraId="74D30C18">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竞包人须知前附表规定评审委员会直接确定承包候选人，发包人依据评审委员会推荐的承包候选人</w:t>
      </w:r>
      <w:r>
        <w:rPr>
          <w:rFonts w:hint="eastAsia" w:hAnsi="宋体" w:cs="宋体"/>
          <w:sz w:val="21"/>
          <w:szCs w:val="21"/>
          <w:lang w:val="en-US" w:eastAsia="zh-CN"/>
        </w:rPr>
        <w:t>发布预承包公示</w:t>
      </w:r>
      <w:r>
        <w:rPr>
          <w:rFonts w:hint="eastAsia" w:ascii="宋体" w:hAnsi="宋体" w:eastAsia="宋体" w:cs="宋体"/>
          <w:sz w:val="21"/>
          <w:szCs w:val="21"/>
        </w:rPr>
        <w:t>。</w:t>
      </w:r>
    </w:p>
    <w:p w14:paraId="01D97B64">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7.3 预承包通知</w:t>
      </w:r>
    </w:p>
    <w:p w14:paraId="0CC99421">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在本章第3.3款规定的竞包有效期内，发包人以书面形式向预承包人发出预承包通知书。</w:t>
      </w:r>
    </w:p>
    <w:p w14:paraId="3A2A18EA">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7.4 履约担保</w:t>
      </w:r>
    </w:p>
    <w:p w14:paraId="547851C8">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7.4.1在签订合同前，</w:t>
      </w:r>
      <w:r>
        <w:rPr>
          <w:rFonts w:hint="eastAsia" w:hAnsi="宋体" w:cs="宋体"/>
          <w:sz w:val="21"/>
          <w:szCs w:val="21"/>
          <w:lang w:val="en-US" w:eastAsia="zh-CN"/>
        </w:rPr>
        <w:t>预承包人</w:t>
      </w:r>
      <w:r>
        <w:rPr>
          <w:rFonts w:hint="eastAsia" w:ascii="宋体" w:hAnsi="宋体" w:eastAsia="宋体" w:cs="宋体"/>
          <w:sz w:val="21"/>
          <w:szCs w:val="21"/>
        </w:rPr>
        <w:t>应按竞包人须知前附表规定的金额、银行保函或保险公司保函和发包文件第四章“合同条款及格式”规定的履约担保形式向发包人提交履约担保。</w:t>
      </w:r>
    </w:p>
    <w:p w14:paraId="76ED193F">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7.4.2预承包人不能按本章第7.4.1项要求提交履约担保的，视为放弃预承包资格，其竞包保证金不予退还，给发包人造成的损失超过竞包保证金数额的，预承包人还应当对超过部分予以赔偿。</w:t>
      </w:r>
    </w:p>
    <w:p w14:paraId="7D9B4B7D">
      <w:pPr>
        <w:pStyle w:val="81"/>
        <w:pageBreakBefore w:val="0"/>
        <w:kinsoku/>
        <w:overflowPunct/>
        <w:bidi w:val="0"/>
        <w:adjustRightInd/>
        <w:spacing w:line="380" w:lineRule="exact"/>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7.5 签订合同</w:t>
      </w:r>
    </w:p>
    <w:p w14:paraId="52EF5293">
      <w:pPr>
        <w:pStyle w:val="3"/>
        <w:wordWrap w:val="0"/>
        <w:topLinePunct/>
        <w:autoSpaceDE/>
        <w:snapToGrid w:val="0"/>
        <w:spacing w:line="360" w:lineRule="auto"/>
        <w:ind w:left="0"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7.5.1</w:t>
      </w:r>
      <w:bookmarkEnd w:id="158"/>
      <w:r>
        <w:rPr>
          <w:rFonts w:hint="eastAsia" w:ascii="宋体" w:hAnsi="宋体" w:eastAsia="宋体" w:cs="宋体"/>
          <w:sz w:val="21"/>
          <w:szCs w:val="21"/>
          <w:lang w:val="en-US" w:eastAsia="zh-CN" w:bidi="ar-SA"/>
        </w:rPr>
        <w:t>发包人和预承包人应当在预承包通知书发出之日起30日内，根据《预承包通知书》和履约保证金缴纳凭证签订施工合同。预承包人无正当理由拒签合同，或者不按照发包文件要求提交履约担保的，发包人有权取消其预承包资格，其竞包保证金不予退还；给发包人造成的损失超过竞包保证金数额的，预承包人还应当对超过部分予以赔偿。</w:t>
      </w:r>
    </w:p>
    <w:p w14:paraId="502BF9CE">
      <w:pPr>
        <w:pageBreakBefore w:val="0"/>
        <w:kinsoku/>
        <w:wordWrap w:val="0"/>
        <w:overflowPunct/>
        <w:topLinePunct/>
        <w:autoSpaceDE/>
        <w:bidi w:val="0"/>
        <w:adjustRightInd/>
        <w:spacing w:line="380" w:lineRule="exact"/>
        <w:ind w:firstLine="422" w:firstLineChars="200"/>
        <w:textAlignment w:val="auto"/>
        <w:outlineLvl w:val="1"/>
        <w:rPr>
          <w:rFonts w:hint="eastAsia" w:ascii="宋体" w:hAnsi="宋体" w:eastAsia="宋体" w:cs="宋体"/>
          <w:b/>
          <w:sz w:val="21"/>
          <w:szCs w:val="21"/>
        </w:rPr>
      </w:pPr>
      <w:bookmarkStart w:id="159" w:name="_Toc45697239"/>
      <w:bookmarkStart w:id="160" w:name="_Toc494121485"/>
      <w:bookmarkStart w:id="161" w:name="_Toc29433"/>
      <w:bookmarkStart w:id="162" w:name="_Toc27583"/>
      <w:bookmarkStart w:id="163" w:name="_Toc22343"/>
      <w:bookmarkStart w:id="164" w:name="_Toc22828075"/>
      <w:bookmarkStart w:id="165" w:name="_Toc452457681"/>
      <w:bookmarkStart w:id="166" w:name="_Toc154675047"/>
      <w:r>
        <w:rPr>
          <w:rFonts w:hint="eastAsia" w:ascii="宋体" w:hAnsi="宋体" w:eastAsia="宋体" w:cs="宋体"/>
          <w:b/>
          <w:sz w:val="21"/>
          <w:szCs w:val="21"/>
        </w:rPr>
        <w:t>8</w:t>
      </w:r>
      <w:bookmarkEnd w:id="159"/>
      <w:bookmarkEnd w:id="160"/>
      <w:bookmarkEnd w:id="161"/>
      <w:r>
        <w:rPr>
          <w:rFonts w:hint="eastAsia" w:ascii="宋体" w:hAnsi="宋体" w:eastAsia="宋体" w:cs="宋体"/>
          <w:b w:val="0"/>
          <w:sz w:val="21"/>
          <w:szCs w:val="21"/>
        </w:rPr>
        <w:t xml:space="preserve">. </w:t>
      </w:r>
      <w:r>
        <w:rPr>
          <w:rFonts w:hint="eastAsia" w:ascii="宋体" w:hAnsi="宋体" w:eastAsia="宋体" w:cs="宋体"/>
          <w:b/>
          <w:sz w:val="21"/>
          <w:szCs w:val="21"/>
        </w:rPr>
        <w:t>可不再发包的情形</w:t>
      </w:r>
      <w:bookmarkEnd w:id="162"/>
      <w:bookmarkEnd w:id="163"/>
    </w:p>
    <w:p w14:paraId="21854751">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见须知前附表。</w:t>
      </w:r>
    </w:p>
    <w:bookmarkEnd w:id="164"/>
    <w:p w14:paraId="415ED6F8">
      <w:pPr>
        <w:pageBreakBefore w:val="0"/>
        <w:kinsoku/>
        <w:wordWrap w:val="0"/>
        <w:overflowPunct/>
        <w:topLinePunct/>
        <w:autoSpaceDE/>
        <w:bidi w:val="0"/>
        <w:adjustRightInd/>
        <w:spacing w:line="380" w:lineRule="exact"/>
        <w:ind w:firstLine="211" w:firstLineChars="100"/>
        <w:textAlignment w:val="auto"/>
        <w:outlineLvl w:val="1"/>
        <w:rPr>
          <w:rFonts w:hint="eastAsia" w:ascii="宋体" w:hAnsi="宋体" w:eastAsia="宋体" w:cs="宋体"/>
          <w:b/>
          <w:sz w:val="21"/>
          <w:szCs w:val="21"/>
        </w:rPr>
      </w:pPr>
      <w:bookmarkStart w:id="167" w:name="bookmark77"/>
      <w:bookmarkEnd w:id="167"/>
      <w:bookmarkStart w:id="168" w:name="_Toc45697240"/>
      <w:bookmarkStart w:id="169" w:name="_Toc494121486"/>
      <w:bookmarkStart w:id="170" w:name="_Toc14014"/>
      <w:bookmarkStart w:id="171" w:name="_Toc26556"/>
      <w:bookmarkStart w:id="172" w:name="_Toc11405"/>
      <w:bookmarkStart w:id="173" w:name="_Toc22828076"/>
      <w:r>
        <w:rPr>
          <w:rFonts w:hint="eastAsia" w:ascii="宋体" w:hAnsi="宋体" w:eastAsia="宋体" w:cs="宋体"/>
          <w:b/>
          <w:sz w:val="21"/>
          <w:szCs w:val="21"/>
        </w:rPr>
        <w:t>9</w:t>
      </w:r>
      <w:r>
        <w:rPr>
          <w:rFonts w:hint="eastAsia" w:ascii="宋体" w:hAnsi="宋体" w:eastAsia="宋体" w:cs="宋体"/>
          <w:b w:val="0"/>
          <w:sz w:val="21"/>
          <w:szCs w:val="21"/>
        </w:rPr>
        <w:t xml:space="preserve">. </w:t>
      </w:r>
      <w:r>
        <w:rPr>
          <w:rFonts w:hint="eastAsia" w:ascii="宋体" w:hAnsi="宋体" w:eastAsia="宋体" w:cs="宋体"/>
          <w:b/>
          <w:sz w:val="21"/>
          <w:szCs w:val="21"/>
        </w:rPr>
        <w:t>纪律和监督</w:t>
      </w:r>
      <w:bookmarkEnd w:id="168"/>
      <w:bookmarkEnd w:id="169"/>
      <w:bookmarkEnd w:id="170"/>
      <w:bookmarkEnd w:id="171"/>
      <w:bookmarkEnd w:id="172"/>
    </w:p>
    <w:p w14:paraId="3384DF55">
      <w:pPr>
        <w:pageBreakBefore w:val="0"/>
        <w:numPr>
          <w:ilvl w:val="1"/>
          <w:numId w:val="1"/>
        </w:numPr>
        <w:kinsoku/>
        <w:wordWrap w:val="0"/>
        <w:overflowPunct/>
        <w:topLinePunct/>
        <w:autoSpaceDE/>
        <w:bidi w:val="0"/>
        <w:adjustRightInd/>
        <w:spacing w:line="380" w:lineRule="exact"/>
        <w:ind w:left="0" w:firstLine="211" w:firstLineChars="100"/>
        <w:textAlignment w:val="auto"/>
        <w:outlineLvl w:val="9"/>
        <w:rPr>
          <w:rFonts w:hint="eastAsia" w:ascii="宋体" w:hAnsi="宋体" w:eastAsia="宋体" w:cs="宋体"/>
          <w:b/>
          <w:sz w:val="21"/>
          <w:szCs w:val="21"/>
        </w:rPr>
      </w:pPr>
      <w:r>
        <w:rPr>
          <w:rFonts w:hint="eastAsia" w:ascii="宋体" w:hAnsi="宋体" w:eastAsia="宋体" w:cs="宋体"/>
          <w:b/>
          <w:sz w:val="21"/>
          <w:szCs w:val="21"/>
        </w:rPr>
        <w:t>对发包人的纪律要求</w:t>
      </w:r>
    </w:p>
    <w:p w14:paraId="119AA7CC">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发包人不得泄漏发包竞包活动中应当保密的情况和资料，不得与竞包人串通损害国家利益、社会公共利益或者他人合法权益。</w:t>
      </w:r>
    </w:p>
    <w:p w14:paraId="2562211D">
      <w:pPr>
        <w:pageBreakBefore w:val="0"/>
        <w:numPr>
          <w:ilvl w:val="1"/>
          <w:numId w:val="1"/>
        </w:numPr>
        <w:kinsoku/>
        <w:wordWrap w:val="0"/>
        <w:overflowPunct/>
        <w:topLinePunct/>
        <w:autoSpaceDE/>
        <w:bidi w:val="0"/>
        <w:adjustRightInd/>
        <w:spacing w:line="380" w:lineRule="exact"/>
        <w:ind w:left="0" w:firstLine="211" w:firstLineChars="100"/>
        <w:textAlignment w:val="auto"/>
        <w:outlineLvl w:val="9"/>
        <w:rPr>
          <w:rFonts w:hint="eastAsia" w:ascii="宋体" w:hAnsi="宋体" w:eastAsia="宋体" w:cs="宋体"/>
          <w:b/>
          <w:sz w:val="21"/>
          <w:szCs w:val="21"/>
        </w:rPr>
      </w:pPr>
      <w:r>
        <w:rPr>
          <w:rFonts w:hint="eastAsia" w:ascii="宋体" w:hAnsi="宋体" w:eastAsia="宋体" w:cs="宋体"/>
          <w:b/>
          <w:sz w:val="21"/>
          <w:szCs w:val="21"/>
        </w:rPr>
        <w:t>对竞包人的纪律要求</w:t>
      </w:r>
    </w:p>
    <w:p w14:paraId="52F3347B">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竞包人不得相互串通竞包或者与发包人串通竞包，不得向发包人或者评审委员会成员行贿谋取承包资格，不得以他人名义竞包或者以其他方式弄虚作假骗取承包资格；竞包人不得以任何方式干扰、影响评审工作。</w:t>
      </w:r>
    </w:p>
    <w:p w14:paraId="5AA0EEAB">
      <w:pPr>
        <w:pageBreakBefore w:val="0"/>
        <w:numPr>
          <w:ilvl w:val="1"/>
          <w:numId w:val="1"/>
        </w:numPr>
        <w:kinsoku/>
        <w:wordWrap w:val="0"/>
        <w:overflowPunct/>
        <w:topLinePunct/>
        <w:autoSpaceDE/>
        <w:bidi w:val="0"/>
        <w:adjustRightInd/>
        <w:spacing w:line="380" w:lineRule="exact"/>
        <w:ind w:left="0" w:firstLine="211" w:firstLineChars="100"/>
        <w:textAlignment w:val="auto"/>
        <w:outlineLvl w:val="9"/>
        <w:rPr>
          <w:rFonts w:hint="eastAsia" w:ascii="宋体" w:hAnsi="宋体" w:eastAsia="宋体" w:cs="宋体"/>
          <w:b/>
          <w:sz w:val="21"/>
          <w:szCs w:val="21"/>
        </w:rPr>
      </w:pPr>
      <w:r>
        <w:rPr>
          <w:rFonts w:hint="eastAsia" w:ascii="宋体" w:hAnsi="宋体" w:eastAsia="宋体" w:cs="宋体"/>
          <w:b/>
          <w:sz w:val="21"/>
          <w:szCs w:val="21"/>
        </w:rPr>
        <w:t>对评审委员会成员的纪律要求</w:t>
      </w:r>
    </w:p>
    <w:p w14:paraId="3E8DDB16">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审委员会成员不得收受他人的财物或者其他好处，不得向他人透漏对竞包文件的评审和比较、承包候选人的推荐情况以及评审有关的其他情况。在评审活动中，评审委员会成员不得擅离职守，影响评审程序正常进行，不得使用第三章“评审办法”没有规定的评审因素和标准进行评审。</w:t>
      </w:r>
    </w:p>
    <w:p w14:paraId="590343B0">
      <w:pPr>
        <w:pageBreakBefore w:val="0"/>
        <w:numPr>
          <w:ilvl w:val="1"/>
          <w:numId w:val="1"/>
        </w:numPr>
        <w:kinsoku/>
        <w:wordWrap w:val="0"/>
        <w:overflowPunct/>
        <w:topLinePunct/>
        <w:autoSpaceDE/>
        <w:bidi w:val="0"/>
        <w:adjustRightInd/>
        <w:spacing w:line="380" w:lineRule="exact"/>
        <w:ind w:left="0" w:firstLine="211" w:firstLineChars="100"/>
        <w:textAlignment w:val="auto"/>
        <w:outlineLvl w:val="9"/>
        <w:rPr>
          <w:rFonts w:hint="eastAsia" w:ascii="宋体" w:hAnsi="宋体" w:eastAsia="宋体" w:cs="宋体"/>
          <w:b/>
          <w:sz w:val="21"/>
          <w:szCs w:val="21"/>
        </w:rPr>
      </w:pPr>
      <w:r>
        <w:rPr>
          <w:rFonts w:hint="eastAsia" w:ascii="宋体" w:hAnsi="宋体" w:eastAsia="宋体" w:cs="宋体"/>
          <w:b/>
          <w:sz w:val="21"/>
          <w:szCs w:val="21"/>
        </w:rPr>
        <w:t>对与评审活动有关的工作人员的纪律要求</w:t>
      </w:r>
    </w:p>
    <w:p w14:paraId="03CE5C76">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漏对竞包文件的评审和比较、承包候选人的推荐情况以及评审有关的其他情况。在评审活动中，与评审活动有关的工作人员不得擅离职守，影响评审程序正常进行。</w:t>
      </w:r>
    </w:p>
    <w:p w14:paraId="3616AC8A">
      <w:pPr>
        <w:pageBreakBefore w:val="0"/>
        <w:numPr>
          <w:ilvl w:val="1"/>
          <w:numId w:val="1"/>
        </w:numPr>
        <w:kinsoku/>
        <w:wordWrap w:val="0"/>
        <w:overflowPunct/>
        <w:topLinePunct/>
        <w:autoSpaceDE/>
        <w:bidi w:val="0"/>
        <w:adjustRightInd/>
        <w:spacing w:line="380" w:lineRule="exact"/>
        <w:ind w:left="0" w:firstLine="211" w:firstLineChars="100"/>
        <w:textAlignment w:val="auto"/>
        <w:outlineLvl w:val="9"/>
        <w:rPr>
          <w:rFonts w:hint="eastAsia" w:ascii="宋体" w:hAnsi="宋体" w:eastAsia="宋体" w:cs="宋体"/>
          <w:b/>
          <w:sz w:val="21"/>
          <w:szCs w:val="21"/>
        </w:rPr>
      </w:pPr>
      <w:r>
        <w:rPr>
          <w:rFonts w:hint="eastAsia" w:ascii="宋体" w:hAnsi="宋体" w:eastAsia="宋体" w:cs="宋体"/>
          <w:b/>
          <w:sz w:val="21"/>
          <w:szCs w:val="21"/>
        </w:rPr>
        <w:t>异议和投诉</w:t>
      </w:r>
    </w:p>
    <w:p w14:paraId="1215E923">
      <w:pPr>
        <w:pageBreakBefore w:val="0"/>
        <w:kinsoku/>
        <w:wordWrap w:val="0"/>
        <w:overflowPunct/>
        <w:topLinePunct/>
        <w:autoSpaceDE/>
        <w:bidi w:val="0"/>
        <w:adjustRightInd/>
        <w:snapToGrid w:val="0"/>
        <w:spacing w:line="38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9.5.1异议</w:t>
      </w:r>
    </w:p>
    <w:p w14:paraId="6F4AEE5B">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（1）潜在竞包人或者其他利害关系人对发包文件有异议的，应当在竞包截止时间1日前</w:t>
      </w:r>
      <w:r>
        <w:rPr>
          <w:rFonts w:hint="eastAsia" w:ascii="宋体" w:hAnsi="宋体" w:eastAsia="宋体" w:cs="宋体"/>
          <w:sz w:val="21"/>
          <w:szCs w:val="21"/>
          <w:highlight w:val="none"/>
          <w:lang w:val="en-US" w:eastAsia="zh-CN"/>
        </w:rPr>
        <w:t>通过泰顺县</w:t>
      </w:r>
      <w:r>
        <w:rPr>
          <w:rFonts w:hint="eastAsia" w:ascii="宋体" w:hAnsi="宋体" w:cs="宋体"/>
          <w:sz w:val="21"/>
          <w:szCs w:val="21"/>
          <w:highlight w:val="none"/>
          <w:lang w:val="en-US" w:eastAsia="zh-CN"/>
        </w:rPr>
        <w:t>小额工程阳光交系统</w:t>
      </w:r>
      <w:r>
        <w:rPr>
          <w:rFonts w:hint="eastAsia" w:ascii="宋体" w:hAnsi="宋体" w:eastAsia="宋体" w:cs="宋体"/>
          <w:sz w:val="21"/>
          <w:szCs w:val="21"/>
          <w:highlight w:val="none"/>
        </w:rPr>
        <w:t>向发包人提出。发包人将在收到异议之日起3日内</w:t>
      </w:r>
      <w:r>
        <w:rPr>
          <w:rFonts w:hint="eastAsia" w:ascii="宋体" w:hAnsi="宋体" w:eastAsia="宋体" w:cs="宋体"/>
          <w:sz w:val="21"/>
          <w:szCs w:val="21"/>
          <w:highlight w:val="none"/>
          <w:lang w:val="en-US" w:eastAsia="zh-CN"/>
        </w:rPr>
        <w:t>在小额工程电子交易系统系统</w:t>
      </w:r>
      <w:r>
        <w:rPr>
          <w:rFonts w:hint="eastAsia" w:ascii="宋体" w:hAnsi="宋体" w:eastAsia="宋体" w:cs="宋体"/>
          <w:sz w:val="21"/>
          <w:szCs w:val="21"/>
          <w:highlight w:val="none"/>
        </w:rPr>
        <w:t>作出答复；作出答复前，暂停发包竞包活动。</w:t>
      </w:r>
    </w:p>
    <w:p w14:paraId="475A78DB">
      <w:pPr>
        <w:wordWrap w:val="0"/>
        <w:topLinePunct/>
        <w:autoSpaceDE/>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Times New Roman" w:hAnsi="宋体" w:eastAsia="宋体" w:cs="Times New Roman"/>
          <w:color w:val="000000" w:themeColor="text1"/>
          <w:szCs w:val="24"/>
          <w:highlight w:val="none"/>
          <w:lang w:val="en-US" w:eastAsia="zh-CN"/>
          <w14:textFill>
            <w14:solidFill>
              <w14:schemeClr w14:val="tx1"/>
            </w14:solidFill>
          </w14:textFill>
        </w:rPr>
        <w:t>发包</w:t>
      </w:r>
      <w:r>
        <w:rPr>
          <w:rFonts w:hint="default" w:ascii="Times New Roman" w:hAnsi="宋体" w:eastAsia="宋体" w:cs="Times New Roman"/>
          <w:color w:val="000000" w:themeColor="text1"/>
          <w:szCs w:val="24"/>
          <w:highlight w:val="none"/>
          <w14:textFill>
            <w14:solidFill>
              <w14:schemeClr w14:val="tx1"/>
            </w14:solidFill>
          </w14:textFill>
        </w:rPr>
        <w:t>人将当场对异议给予处理或者告知处理的</w:t>
      </w:r>
      <w:r>
        <w:rPr>
          <w:rFonts w:hint="eastAsia" w:ascii="Times New Roman" w:cs="Times New Roman"/>
          <w:color w:val="000000" w:themeColor="text1"/>
          <w:szCs w:val="24"/>
          <w:highlight w:val="none"/>
          <w:lang w:eastAsia="zh-CN"/>
          <w14:textFill>
            <w14:solidFill>
              <w14:schemeClr w14:val="tx1"/>
            </w14:solidFill>
          </w14:textFill>
        </w:rPr>
        <w:t>办</w:t>
      </w:r>
      <w:r>
        <w:rPr>
          <w:rFonts w:hint="default" w:ascii="Times New Roman" w:hAnsi="宋体" w:eastAsia="宋体" w:cs="Times New Roman"/>
          <w:color w:val="000000" w:themeColor="text1"/>
          <w:szCs w:val="24"/>
          <w:highlight w:val="none"/>
          <w14:textFill>
            <w14:solidFill>
              <w14:schemeClr w14:val="tx1"/>
            </w14:solidFill>
          </w14:textFill>
        </w:rPr>
        <w:t>法。异议和答复应记入</w:t>
      </w:r>
      <w:r>
        <w:rPr>
          <w:rFonts w:hint="eastAsia" w:ascii="Times New Roman" w:hAnsi="宋体" w:eastAsia="宋体" w:cs="Times New Roman"/>
          <w:color w:val="000000" w:themeColor="text1"/>
          <w:szCs w:val="24"/>
          <w:highlight w:val="none"/>
          <w:lang w:val="en-US" w:eastAsia="zh-CN"/>
          <w14:textFill>
            <w14:solidFill>
              <w14:schemeClr w14:val="tx1"/>
            </w14:solidFill>
          </w14:textFill>
        </w:rPr>
        <w:t>交易</w:t>
      </w:r>
      <w:r>
        <w:rPr>
          <w:rFonts w:hint="default" w:ascii="Times New Roman" w:hAnsi="宋体" w:eastAsia="宋体" w:cs="Times New Roman"/>
          <w:color w:val="000000" w:themeColor="text1"/>
          <w:szCs w:val="24"/>
          <w:highlight w:val="none"/>
          <w14:textFill>
            <w14:solidFill>
              <w14:schemeClr w14:val="tx1"/>
            </w14:solidFill>
          </w14:textFill>
        </w:rPr>
        <w:t>记录或者制作专门记录以存档备查；</w:t>
      </w:r>
    </w:p>
    <w:p w14:paraId="4F252A12">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（3）竞包人及其他利害关系人对评审结果有异议的，应当在预承包公示期内</w:t>
      </w:r>
      <w:r>
        <w:rPr>
          <w:rFonts w:hint="eastAsia" w:ascii="宋体" w:hAnsi="宋体" w:eastAsia="宋体" w:cs="宋体"/>
          <w:sz w:val="21"/>
          <w:szCs w:val="21"/>
          <w:highlight w:val="none"/>
          <w:lang w:val="en-US" w:eastAsia="zh-CN"/>
        </w:rPr>
        <w:t>通过泰顺县</w:t>
      </w:r>
      <w:r>
        <w:rPr>
          <w:rFonts w:hint="eastAsia" w:ascii="宋体" w:hAnsi="宋体" w:cs="宋体"/>
          <w:sz w:val="21"/>
          <w:szCs w:val="21"/>
          <w:highlight w:val="none"/>
          <w:lang w:val="en-US" w:eastAsia="zh-CN"/>
        </w:rPr>
        <w:t>小额工程阳光交易系统</w:t>
      </w:r>
      <w:r>
        <w:rPr>
          <w:rFonts w:hint="eastAsia" w:ascii="宋体" w:hAnsi="宋体" w:eastAsia="宋体" w:cs="宋体"/>
          <w:sz w:val="21"/>
          <w:szCs w:val="21"/>
          <w:highlight w:val="none"/>
        </w:rPr>
        <w:t>向发包人提出。发包人将在收到异议之日起3日内</w:t>
      </w:r>
      <w:r>
        <w:rPr>
          <w:rFonts w:hint="eastAsia" w:ascii="宋体" w:hAnsi="宋体" w:eastAsia="宋体" w:cs="宋体"/>
          <w:sz w:val="21"/>
          <w:szCs w:val="21"/>
          <w:highlight w:val="none"/>
          <w:lang w:val="en-US" w:eastAsia="zh-CN"/>
        </w:rPr>
        <w:t>在泰顺县</w:t>
      </w:r>
      <w:r>
        <w:rPr>
          <w:rFonts w:hint="eastAsia" w:ascii="宋体" w:hAnsi="宋体" w:cs="宋体"/>
          <w:sz w:val="21"/>
          <w:szCs w:val="21"/>
          <w:highlight w:val="none"/>
          <w:lang w:val="en-US" w:eastAsia="zh-CN"/>
        </w:rPr>
        <w:t>小额工程阳光交易系统</w:t>
      </w:r>
      <w:r>
        <w:rPr>
          <w:rFonts w:hint="eastAsia" w:ascii="宋体" w:hAnsi="宋体" w:eastAsia="宋体" w:cs="宋体"/>
          <w:sz w:val="21"/>
          <w:szCs w:val="21"/>
          <w:highlight w:val="none"/>
        </w:rPr>
        <w:t>作出答复；作出答复前，暂停发包竞包活动。</w:t>
      </w:r>
    </w:p>
    <w:p w14:paraId="39F39949">
      <w:pPr>
        <w:pageBreakBefore w:val="0"/>
        <w:kinsoku/>
        <w:wordWrap w:val="0"/>
        <w:overflowPunct/>
        <w:topLinePunct/>
        <w:autoSpaceDE/>
        <w:bidi w:val="0"/>
        <w:adjustRightInd/>
        <w:snapToGrid w:val="0"/>
        <w:spacing w:line="38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9.5.2投诉</w:t>
      </w:r>
    </w:p>
    <w:p w14:paraId="6FC91CFC">
      <w:pPr>
        <w:pageBreakBefore w:val="0"/>
        <w:kinsoku/>
        <w:wordWrap w:val="0"/>
        <w:overflowPunct/>
        <w:topLinePunct/>
        <w:autoSpaceDE/>
        <w:bidi w:val="0"/>
        <w:adjustRightInd/>
        <w:snapToGrid w:val="0"/>
        <w:spacing w:line="38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竞包人或者其他利害关系人认为发包竞包活动不符合法律、行政法规和发包文件规定的，可以自知道或者应当知道之日起10日内</w:t>
      </w:r>
      <w:r>
        <w:rPr>
          <w:rFonts w:hint="eastAsia" w:ascii="宋体" w:hAnsi="宋体" w:eastAsia="宋体" w:cs="宋体"/>
          <w:sz w:val="21"/>
          <w:szCs w:val="21"/>
          <w:lang w:val="en-US" w:eastAsia="zh-CN"/>
        </w:rPr>
        <w:t>书面</w:t>
      </w:r>
      <w:r>
        <w:rPr>
          <w:rFonts w:hint="eastAsia" w:ascii="宋体" w:hAnsi="宋体" w:eastAsia="宋体" w:cs="宋体"/>
          <w:sz w:val="21"/>
          <w:szCs w:val="21"/>
        </w:rPr>
        <w:t>向相关行政监督部门投诉。投诉应当有明确的请求和必要的证明资料，具体要求按国家、省及当地相关主管部门制定的规定。就发包文件、交易和评审结果投诉的，应当先向发包人提出异议，异议答复期不计算在前款规定的期限内。相关行政监督部门</w:t>
      </w:r>
      <w:r>
        <w:rPr>
          <w:rFonts w:hint="eastAsia" w:ascii="宋体" w:hAnsi="宋体" w:eastAsia="宋体" w:cs="宋体"/>
          <w:sz w:val="21"/>
          <w:szCs w:val="21"/>
          <w:lang w:val="en-US" w:eastAsia="zh-CN"/>
        </w:rPr>
        <w:t>参照</w:t>
      </w:r>
      <w:r>
        <w:rPr>
          <w:rFonts w:hint="eastAsia" w:ascii="宋体" w:hAnsi="宋体" w:eastAsia="宋体" w:cs="宋体"/>
          <w:sz w:val="21"/>
          <w:szCs w:val="21"/>
        </w:rPr>
        <w:t>《中华人民共和国招标投标法实施条例》、《工程建设项目招标投标活动投诉处理办法》（国家七部委令2004年第11号）及《关于废止和修改部分招标投标规章和规范性文件的决定》（国家发改委等九部委令2013年第23号）</w:t>
      </w:r>
      <w:r>
        <w:rPr>
          <w:rFonts w:hint="eastAsia" w:ascii="宋体" w:hAnsi="宋体" w:eastAsia="宋体" w:cs="宋体"/>
          <w:sz w:val="21"/>
          <w:szCs w:val="21"/>
          <w:lang w:val="en-US" w:eastAsia="zh-CN"/>
        </w:rPr>
        <w:t>办理。</w:t>
      </w:r>
    </w:p>
    <w:p w14:paraId="4EBA4B5A">
      <w:pPr>
        <w:pageBreakBefore w:val="0"/>
        <w:kinsoku/>
        <w:wordWrap w:val="0"/>
        <w:overflowPunct/>
        <w:topLinePunct/>
        <w:autoSpaceDE/>
        <w:bidi w:val="0"/>
        <w:adjustRightInd/>
        <w:snapToGrid w:val="0"/>
        <w:spacing w:line="3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上述时限最后一日如遇国家法定休假日的，顺延至法定休假日后的第一个工作日。</w:t>
      </w:r>
    </w:p>
    <w:bookmarkEnd w:id="173"/>
    <w:p w14:paraId="0A239A12">
      <w:pPr>
        <w:pageBreakBefore w:val="0"/>
        <w:kinsoku/>
        <w:wordWrap w:val="0"/>
        <w:overflowPunct/>
        <w:topLinePunct/>
        <w:autoSpaceDE/>
        <w:bidi w:val="0"/>
        <w:adjustRightInd/>
        <w:spacing w:line="380" w:lineRule="exact"/>
        <w:textAlignment w:val="auto"/>
        <w:outlineLvl w:val="1"/>
        <w:rPr>
          <w:rFonts w:hint="eastAsia" w:ascii="宋体" w:hAnsi="宋体" w:eastAsia="宋体" w:cs="宋体"/>
          <w:b/>
          <w:sz w:val="21"/>
          <w:szCs w:val="21"/>
        </w:rPr>
      </w:pPr>
      <w:bookmarkStart w:id="174" w:name="bookmark78"/>
      <w:bookmarkEnd w:id="174"/>
      <w:bookmarkStart w:id="175" w:name="_Toc22284"/>
      <w:bookmarkStart w:id="176" w:name="_Toc22828077"/>
      <w:bookmarkStart w:id="177" w:name="_Toc819"/>
      <w:bookmarkStart w:id="178" w:name="_Toc45697241"/>
      <w:bookmarkStart w:id="179" w:name="_Toc32448"/>
      <w:r>
        <w:rPr>
          <w:rFonts w:hint="eastAsia" w:ascii="宋体" w:hAnsi="宋体" w:eastAsia="宋体" w:cs="宋体"/>
          <w:b/>
          <w:sz w:val="21"/>
          <w:szCs w:val="21"/>
        </w:rPr>
        <w:t>10</w:t>
      </w:r>
      <w:r>
        <w:rPr>
          <w:rFonts w:hint="eastAsia" w:ascii="宋体" w:hAnsi="宋体" w:eastAsia="宋体" w:cs="宋体"/>
          <w:b w:val="0"/>
          <w:sz w:val="21"/>
          <w:szCs w:val="21"/>
        </w:rPr>
        <w:t xml:space="preserve">. </w:t>
      </w:r>
      <w:r>
        <w:rPr>
          <w:rFonts w:hint="eastAsia" w:ascii="宋体" w:hAnsi="宋体" w:eastAsia="宋体" w:cs="宋体"/>
          <w:b/>
          <w:sz w:val="21"/>
          <w:szCs w:val="21"/>
        </w:rPr>
        <w:t>需要补充的其他内容</w:t>
      </w:r>
      <w:bookmarkEnd w:id="175"/>
      <w:bookmarkEnd w:id="176"/>
      <w:bookmarkEnd w:id="177"/>
      <w:bookmarkEnd w:id="178"/>
      <w:bookmarkEnd w:id="179"/>
    </w:p>
    <w:p w14:paraId="3915120A">
      <w:pPr>
        <w:pageBreakBefore w:val="0"/>
        <w:kinsoku/>
        <w:wordWrap w:val="0"/>
        <w:overflowPunct/>
        <w:topLinePunct/>
        <w:bidi w:val="0"/>
        <w:adjustRightInd/>
        <w:snapToGrid w:val="0"/>
        <w:spacing w:line="380" w:lineRule="exact"/>
        <w:ind w:firstLine="420" w:firstLineChars="200"/>
        <w:jc w:val="left"/>
        <w:textAlignment w:val="auto"/>
        <w:rPr>
          <w:szCs w:val="21"/>
        </w:rPr>
      </w:pPr>
      <w:r>
        <w:rPr>
          <w:rFonts w:hint="eastAsia" w:ascii="宋体" w:hAnsi="宋体" w:eastAsia="宋体" w:cs="宋体"/>
          <w:sz w:val="21"/>
          <w:szCs w:val="21"/>
        </w:rPr>
        <w:t>需要补充的其他内容：见竞包人须知前附表。</w:t>
      </w:r>
      <w:bookmarkEnd w:id="165"/>
      <w:bookmarkEnd w:id="166"/>
    </w:p>
    <w:p w14:paraId="1EB27779">
      <w:pPr>
        <w:spacing w:line="360" w:lineRule="auto"/>
      </w:pPr>
      <w:bookmarkStart w:id="180" w:name="EB32a49eed5e014a3aa21e33ddd9f37c73"/>
      <w:r>
        <w:rPr>
          <w:sz w:val="20"/>
        </w:rPr>
        <w:t xml:space="preserve"> </w:t>
      </w:r>
      <w:bookmarkEnd w:id="180"/>
    </w:p>
    <w:p w14:paraId="5617CA7B">
      <w:pPr>
        <w:spacing w:line="360" w:lineRule="auto"/>
      </w:pPr>
      <w:r>
        <w:br w:type="page"/>
      </w:r>
      <w:bookmarkStart w:id="181" w:name="EB5f2f9c2557c44c2cb9331cc3f79951db"/>
      <w:r>
        <w:rPr>
          <w:sz w:val="20"/>
        </w:rPr>
        <w:t xml:space="preserve"> </w:t>
      </w:r>
      <w:bookmarkEnd w:id="181"/>
      <w:bookmarkStart w:id="182" w:name="EBf79d25d2d0944346aaf4151a94a03dfd"/>
      <w:r>
        <w:rPr>
          <w:sz w:val="20"/>
        </w:rPr>
        <w:t xml:space="preserve"> </w:t>
      </w:r>
      <w:bookmarkEnd w:id="182"/>
    </w:p>
    <w:p w14:paraId="083BA200">
      <w:pPr>
        <w:wordWrap w:val="0"/>
        <w:topLinePunct/>
        <w:autoSpaceDE/>
        <w:spacing w:line="360" w:lineRule="auto"/>
        <w:outlineLvl w:val="2"/>
        <w:rPr>
          <w:rFonts w:ascii="宋体" w:hAnsi="宋体"/>
          <w:b/>
          <w:sz w:val="32"/>
          <w:szCs w:val="32"/>
        </w:rPr>
      </w:pPr>
      <w:bookmarkStart w:id="183" w:name="_Toc29053"/>
      <w:r>
        <w:rPr>
          <w:rFonts w:hint="eastAsia" w:ascii="宋体" w:hAnsi="宋体"/>
          <w:b/>
          <w:sz w:val="32"/>
          <w:szCs w:val="32"/>
        </w:rPr>
        <w:t>附</w:t>
      </w:r>
      <w:bookmarkStart w:id="184" w:name="_Toc27308"/>
      <w:r>
        <w:rPr>
          <w:rFonts w:hint="eastAsia" w:ascii="宋体" w:hAnsi="宋体"/>
          <w:b/>
          <w:sz w:val="32"/>
          <w:szCs w:val="32"/>
        </w:rPr>
        <w:t>件1、电子竞包文件制作相关规定</w:t>
      </w:r>
      <w:bookmarkEnd w:id="183"/>
    </w:p>
    <w:p w14:paraId="4FF95E74">
      <w:pPr>
        <w:wordWrap w:val="0"/>
        <w:topLinePunct/>
        <w:autoSpaceDE/>
        <w:snapToGrid w:val="0"/>
        <w:spacing w:line="360" w:lineRule="auto"/>
        <w:ind w:firstLine="420" w:firstLineChars="200"/>
        <w:rPr>
          <w:rFonts w:hint="eastAsia" w:ascii="宋体" w:hAnsi="宋体" w:cs="宋体"/>
          <w:lang w:bidi="ar"/>
        </w:rPr>
      </w:pPr>
    </w:p>
    <w:p w14:paraId="3CBF9950">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一、本项目实行电子竞包，电子竞包文件将采用CA加密。</w:t>
      </w:r>
    </w:p>
    <w:p w14:paraId="205C1D9F">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二、电子发包文件的获取。登陆泰顺县小额工程阳光交易网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后进行下载，发包文件内容含发包文件、工程图纸及其他有关资料。</w:t>
      </w:r>
    </w:p>
    <w:p w14:paraId="5113FBA6">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三、电子竞包文件的制作及上传。</w:t>
      </w:r>
    </w:p>
    <w:p w14:paraId="595B820C">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一）本项目实行电子发包竞包，即全部竞包文件均采取电子化编制和电子评审。竞包人应将编制完成后的全部竞包文件导入竞包文件制作工具，检查并填写好相应信息，并且用CA锁对发包文件要求进行电子签章的相应报表进行电子签章。检查无问题后生成加密标书，如有纸质要求按发包文件要求在竞包文件制作工具中打印（详见前附表），最后将竞包文件生成，于竞包截止时间前，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”选择“</w:t>
      </w:r>
      <w:r>
        <w:rPr>
          <w:rFonts w:hint="eastAsia" w:ascii="宋体" w:hAnsi="宋体" w:cs="宋体"/>
          <w:lang w:eastAsia="zh-CN" w:bidi="ar"/>
        </w:rPr>
        <w:t>竞包人</w:t>
      </w:r>
      <w:r>
        <w:rPr>
          <w:rFonts w:hint="eastAsia" w:ascii="宋体" w:hAnsi="宋体" w:cs="宋体"/>
          <w:lang w:bidi="ar"/>
        </w:rPr>
        <w:t>登录”，选择项目并在该项目流程页面点击“上传</w:t>
      </w:r>
      <w:r>
        <w:rPr>
          <w:rFonts w:hint="eastAsia" w:ascii="宋体" w:hAnsi="宋体" w:cs="宋体"/>
          <w:lang w:eastAsia="zh-CN" w:bidi="ar"/>
        </w:rPr>
        <w:t>竞包</w:t>
      </w:r>
      <w:r>
        <w:rPr>
          <w:rFonts w:hint="eastAsia" w:ascii="宋体" w:hAnsi="宋体" w:cs="宋体"/>
          <w:lang w:bidi="ar"/>
        </w:rPr>
        <w:t>文件”栏目上传“标段名称(加密).</w:t>
      </w:r>
      <w:r>
        <w:rPr>
          <w:rFonts w:ascii="宋体" w:hAnsi="宋体" w:cs="宋体"/>
          <w:lang w:bidi="ar"/>
        </w:rPr>
        <w:t>XE</w:t>
      </w:r>
      <w:r>
        <w:rPr>
          <w:rFonts w:hint="eastAsia" w:ascii="宋体" w:hAnsi="宋体" w:cs="宋体"/>
          <w:lang w:bidi="ar"/>
        </w:rPr>
        <w:t>TF”的竞包文件。(电子竞包文件上传成功会弹窗提示“上传成功”且在操作历史处显示上传具体信息。详细操作步骤请在“泰顺县小额工程阳光交易网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-办事指南-下载中心”栏目下载竞包人操作手册查阅)。</w:t>
      </w:r>
    </w:p>
    <w:p w14:paraId="2AB1330C">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注：制作生成竞包文件时，确保分别生成CA证书加密的《标段名称(加密).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TF》两份电子文件，标段名称(不加密).n</w:t>
      </w:r>
      <w:r>
        <w:rPr>
          <w:rFonts w:ascii="宋体" w:hAnsi="宋体" w:cs="宋体"/>
          <w:lang w:bidi="ar"/>
        </w:rPr>
        <w:t>XE</w:t>
      </w:r>
      <w:r>
        <w:rPr>
          <w:rFonts w:hint="eastAsia" w:ascii="宋体" w:hAnsi="宋体" w:cs="宋体"/>
          <w:lang w:bidi="ar"/>
        </w:rPr>
        <w:t>TF作为备用标书，以防CA证书标书损坏，作用类似于原现场交易的光盘。</w:t>
      </w:r>
    </w:p>
    <w:p w14:paraId="2A9733FB">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二）竞包文件电子文档包括竞包人须知第3.1.1规定的所有内容，竞包人对发包文件要求进行电子签章的相应报表进行电子签章，对发包文件要求提供的证书、资料按要求上传到指定位置。竞包人按竞包人须知第3.1项要求将全部竞包文件上传到竞包文件制作工具，如要求提供纸质竞包人文件，要求最终生成纸质的所有书面竞包文件应是从竞包文件制作工具中输出，且应具有工程项目的水印编码标记，具体操作为双击打开竞包文件制作工具，点击上方菜单栏“新建”按钮。在对话框中选择发包文件【（标段编号）标段名称.</w:t>
      </w:r>
      <w:r>
        <w:rPr>
          <w:rFonts w:ascii="宋体" w:hAnsi="宋体" w:cs="宋体"/>
          <w:lang w:bidi="ar"/>
        </w:rPr>
        <w:t>XE</w:t>
      </w:r>
      <w:r>
        <w:rPr>
          <w:rFonts w:hint="eastAsia" w:ascii="宋体" w:hAnsi="宋体" w:cs="宋体"/>
          <w:lang w:bidi="ar"/>
        </w:rPr>
        <w:t>ZF】或最新的答疑文件【（标段编号）标段名称.</w:t>
      </w:r>
      <w:r>
        <w:rPr>
          <w:rFonts w:ascii="宋体" w:hAnsi="宋体" w:cs="宋体"/>
          <w:lang w:bidi="ar"/>
        </w:rPr>
        <w:t>XE</w:t>
      </w:r>
      <w:r>
        <w:rPr>
          <w:rFonts w:hint="eastAsia" w:ascii="宋体" w:hAnsi="宋体" w:cs="宋体"/>
          <w:lang w:bidi="ar"/>
        </w:rPr>
        <w:t>CF】导入，导入发包文件后，竞包人应按以下要求编制电子竞包文件，未按要求编制可导致评审委员会在相应评审程序步骤无法查看到竞包文件对应的内容，引起的后果自行负责。</w:t>
      </w:r>
    </w:p>
    <w:p w14:paraId="045AA8B5">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（三）电子竞包文件线下提供（如要求）：存放本工程《标段名称(加密).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TF》的U盘等存储介质，单独放入一个密封袋中妥为密封，相应地方加盖竞包单位章，并在密封封面上清楚的标明“电子竞包文件”等字样。</w:t>
      </w:r>
    </w:p>
    <w:p w14:paraId="12072B95">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（四）竞包文件上传如有问题，咨询电话：4009980000。</w:t>
      </w:r>
    </w:p>
    <w:p w14:paraId="55A9AD0E">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四、交易及评审</w:t>
      </w:r>
    </w:p>
    <w:p w14:paraId="1C606B08">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（一）竞包人在竞包前应自行检查电子竞包文件的有效性，交易时因CA锁导致竞包文件无法解密或者解密失败，视为无效竞包。</w:t>
      </w:r>
    </w:p>
    <w:p w14:paraId="3247F322">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（二）竞包人未按照要求制作电子竞包文件，造成无法导入交易系统，视为无效竞包。</w:t>
      </w:r>
    </w:p>
    <w:p w14:paraId="68635FF3">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三）本项目采取电子竞包，竞包人应当保证书面竞包文件（如要求）与电子竞包文件一致，如果在评审过程中发现书面竞包文件与电子竞包文件不一致时，以电子竞包文件为准，评审委员会可以要求竞包单位重新提供与电子竞包文件内容一致的书面竞包文件，竞包单位拒绝重新提供的，评审委员会可以否决其竞包。</w:t>
      </w:r>
    </w:p>
    <w:p w14:paraId="4B11D15C">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四）不同竞包人的电子竞包文件发现计算机网卡MAC地址、数据储存设备序列号、CPU序列号、主板序列号、竞包工具标识号和文件制作联网ip地址六项中的任意三项相同或文件创建标识码相同，评审委员会应当否决其竞包。</w:t>
      </w:r>
    </w:p>
    <w:p w14:paraId="5337F788">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五、注意事项</w:t>
      </w:r>
    </w:p>
    <w:p w14:paraId="1240CE16">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（一）竞包工具使用流程详见泰顺县小额工程阳光交易网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-“办事指南”-“下载中心”下的竞包文件制作工具操作手册。</w:t>
      </w:r>
    </w:p>
    <w:p w14:paraId="78BFA2D4">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二）竞包人应检查标书完整性和有效性，点击竞包工具“预览标书”，检查竞包文件的签章情况和内容完整情况，如有缺少签章和内容，请重新编辑。正确无误后再将竞包文件进行生成，完成后应检查电子竞包文件能否正常打开。</w:t>
      </w:r>
    </w:p>
    <w:p w14:paraId="7C45A66C">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三）关于CA锁PIN码的，就是CA的个人识别密码，用来保护自己的CA不被他人使用，竞包过程中如果多次输错pin码当前CA锁就被锁定，由于pin码的再次开通CA公司需要一定时间，交易过程中由于竞包人输错pin码而导致CA锁被锁定无法解密电子竞包文件，由竞包人自行负责。</w:t>
      </w:r>
    </w:p>
    <w:p w14:paraId="5360058D">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（四）如要打印纸质竞包文件可从竞包工具“预览标书”界面中选择资料打印。</w:t>
      </w:r>
    </w:p>
    <w:p w14:paraId="0D5BC3DB">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（五）本项目交易时通过泰顺县小额工程阳光交易网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及相应的配套硬件设备（摄像头、话筒、麦克风等）完成远程解密、提疑澄清、交易唱标、结果公布等交互环节。</w:t>
      </w:r>
    </w:p>
    <w:p w14:paraId="5E98E16C">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为保证本项目远程</w:t>
      </w:r>
      <w:r>
        <w:rPr>
          <w:rFonts w:hint="eastAsia" w:ascii="宋体" w:hAnsi="宋体" w:cs="宋体"/>
          <w:lang w:eastAsia="zh-CN" w:bidi="ar"/>
        </w:rPr>
        <w:t>交易活动</w:t>
      </w:r>
      <w:r>
        <w:rPr>
          <w:rFonts w:hint="eastAsia" w:ascii="宋体" w:hAnsi="宋体" w:cs="宋体"/>
          <w:lang w:bidi="ar"/>
        </w:rPr>
        <w:t xml:space="preserve">议顺利进行，特做如下提醒： </w:t>
      </w:r>
    </w:p>
    <w:p w14:paraId="03534DDD">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1.本项目通过泰顺县小额工程阳光交易网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 xml:space="preserve">递交竞包文件，各竞包人务必在交易日之前仔细确认竞包文件已成功提交到系统内（以往项目中，经常发生竞包人多次撤回修改竞包文件，而却忽略最终递交的步骤）。 </w:t>
      </w:r>
    </w:p>
    <w:p w14:paraId="2DC36B61">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2.各竞包人务必在交易时间前登录泰顺县小额工程阳光交易网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，查询所竞包项目竞包保证金缴纳结果情况。</w:t>
      </w:r>
    </w:p>
    <w:p w14:paraId="3E29172E">
      <w:pPr>
        <w:wordWrap w:val="0"/>
        <w:topLinePunct/>
        <w:autoSpaceDE/>
        <w:spacing w:line="360" w:lineRule="auto"/>
        <w:outlineLvl w:val="2"/>
        <w:rPr>
          <w:rFonts w:hint="eastAsia" w:ascii="宋体" w:hAnsi="宋体" w:eastAsia="宋体"/>
          <w:b/>
          <w:sz w:val="32"/>
          <w:szCs w:val="32"/>
          <w:lang w:val="en-US" w:eastAsia="zh-CN"/>
        </w:rPr>
      </w:pPr>
      <w:r>
        <w:rPr>
          <w:rFonts w:hint="eastAsia" w:ascii="Arial" w:hAnsi="Arial" w:cs="Arial"/>
          <w:lang w:bidi="ar"/>
        </w:rPr>
        <w:br w:type="page"/>
      </w:r>
      <w:bookmarkStart w:id="185" w:name="_Toc18874"/>
      <w:r>
        <w:rPr>
          <w:rFonts w:hint="eastAsia" w:ascii="宋体" w:hAnsi="宋体"/>
          <w:b/>
          <w:sz w:val="32"/>
          <w:szCs w:val="32"/>
        </w:rPr>
        <w:t>附件2、不见面交易</w:t>
      </w:r>
      <w:bookmarkEnd w:id="185"/>
      <w:r>
        <w:rPr>
          <w:rFonts w:hint="eastAsia" w:ascii="宋体" w:hAnsi="宋体"/>
          <w:b/>
          <w:sz w:val="32"/>
          <w:szCs w:val="32"/>
          <w:lang w:val="en-US" w:eastAsia="zh-CN"/>
        </w:rPr>
        <w:t>活动</w:t>
      </w:r>
    </w:p>
    <w:p w14:paraId="2BEC6D87">
      <w:pPr>
        <w:wordWrap w:val="0"/>
        <w:topLinePunct/>
        <w:autoSpaceDE/>
        <w:snapToGrid w:val="0"/>
        <w:spacing w:line="360" w:lineRule="auto"/>
        <w:ind w:firstLine="422" w:firstLineChars="200"/>
        <w:rPr>
          <w:rFonts w:hint="eastAsia" w:ascii="宋体" w:hAnsi="宋体" w:cs="宋体"/>
          <w:b/>
          <w:bCs/>
          <w:lang w:bidi="ar"/>
        </w:rPr>
      </w:pPr>
    </w:p>
    <w:p w14:paraId="44E8E25E">
      <w:pPr>
        <w:wordWrap w:val="0"/>
        <w:topLinePunct/>
        <w:autoSpaceDE/>
        <w:snapToGrid w:val="0"/>
        <w:spacing w:line="360" w:lineRule="auto"/>
        <w:ind w:firstLine="422" w:firstLineChars="200"/>
        <w:rPr>
          <w:rFonts w:hint="eastAsia" w:ascii="宋体" w:hAnsi="宋体" w:cs="宋体"/>
          <w:b/>
          <w:bCs/>
          <w:lang w:bidi="ar"/>
        </w:rPr>
      </w:pPr>
      <w:r>
        <w:rPr>
          <w:rFonts w:hint="eastAsia" w:ascii="宋体" w:hAnsi="宋体" w:cs="宋体"/>
          <w:b/>
          <w:bCs/>
          <w:lang w:bidi="ar"/>
        </w:rPr>
        <w:t>一、业务要求</w:t>
      </w:r>
    </w:p>
    <w:p w14:paraId="273DF4B0">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（一）在泰顺境内采用不见面交易的小额工程发包竞包项目适用泰顺县小额工程阳光交易</w:t>
      </w:r>
      <w:r>
        <w:rPr>
          <w:rFonts w:hint="eastAsia" w:ascii="宋体" w:hAnsi="宋体" w:cs="宋体"/>
          <w:lang w:val="en-US" w:eastAsia="zh-CN" w:bidi="ar"/>
        </w:rPr>
        <w:t>系统</w:t>
      </w:r>
      <w:r>
        <w:rPr>
          <w:rFonts w:hint="eastAsia" w:ascii="宋体" w:hAnsi="宋体" w:cs="宋体"/>
          <w:lang w:bidi="ar"/>
        </w:rPr>
        <w:t>不见面交易大厅。</w:t>
      </w:r>
    </w:p>
    <w:p w14:paraId="125B6186">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（二）交易项目的时间均以国家授时中心发布的时间为准。</w:t>
      </w:r>
    </w:p>
    <w:p w14:paraId="033D711C">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三）项目的竞包文件必须使用泰顺县小额工程阳光交易网（https://taishun.etrading.cn/）下载的竞包文件制作工具进行编制，并通过泰顺县小额工程阳光交易网（https://taishun.etrading.cn/）-电子交易平台完成竞包过程。竞包人应依照发包文件的规定完成电子竞包文件的编制和提交，如未按发包文件要求编制、提交电子竞包文件，其后果由竞包人自行承担。</w:t>
      </w:r>
    </w:p>
    <w:p w14:paraId="320D4F57">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四）竞包人制作电子竞包文件时须生成内容完全一致的两个文件，一个是加密竞包文件，另一个是非加密竞包文件，并按发包文件要求方式提交。竞包人应充分考虑到网络及系统平台可能存在的突发状况，尽早完成竞包文件编制并上传。</w:t>
      </w:r>
    </w:p>
    <w:p w14:paraId="6AC627DF">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（五）竞包人在交易活动前提前进入泰顺县小额工程阳光交易</w:t>
      </w:r>
      <w:r>
        <w:rPr>
          <w:rFonts w:hint="eastAsia" w:ascii="宋体" w:hAnsi="宋体" w:cs="宋体"/>
          <w:lang w:val="en-US" w:eastAsia="zh-CN" w:bidi="ar"/>
        </w:rPr>
        <w:t>系统</w:t>
      </w:r>
      <w:r>
        <w:rPr>
          <w:rFonts w:hint="eastAsia" w:ascii="宋体" w:hAnsi="宋体" w:cs="宋体"/>
          <w:lang w:bidi="ar"/>
        </w:rPr>
        <w:t>交易不见面交易大厅(网址），实时观看音视频交互效果并及时在系统互动区反馈。未按时加入系统互动区或未能在交易活动区内全程参与交流互动，并未在交易活动结束前提出相关质疑，视为对交易全过程无异议。</w:t>
      </w:r>
    </w:p>
    <w:p w14:paraId="3827DC01">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（六）交易活动前发包人或发包代理需先核验竞包保证金提交情况，然后通过系统发出竞包文件解密指令，竞包人在任意地点按设定时间（解密时长为20分钟）自行实施在线解密，解密限定在设定时间内完成。</w:t>
      </w:r>
    </w:p>
    <w:p w14:paraId="59483D2A">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七）竞包人必须使用能正确解密竞包文件的CA锁在设定时间内完成解密，因竞包人原因未能解密、解密失败或解密超时，视为竞包人撤销其竞包文件，系统内竞包文件将被退回；因发包人或系统原因，导致无法按时完成竞包文件解密或交易、评审工作无法进行的，可根据实际情况相应延迟解密时间或调整交易、评审时间。</w:t>
      </w:r>
    </w:p>
    <w:p w14:paraId="314A8EA5">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（八）交易当日，竞包人不必抵达交易活动现场，仅需在任</w:t>
      </w:r>
      <w:r>
        <w:rPr>
          <w:rFonts w:hint="eastAsia" w:ascii="宋体" w:hAnsi="宋体" w:cs="宋体"/>
          <w:highlight w:val="none"/>
          <w:lang w:bidi="ar"/>
        </w:rPr>
        <w:t>意地点通过</w:t>
      </w:r>
      <w:r>
        <w:rPr>
          <w:rFonts w:hint="eastAsia" w:ascii="宋体" w:hAnsi="宋体" w:cs="宋体"/>
          <w:highlight w:val="none"/>
          <w:lang w:val="en-US" w:eastAsia="zh-CN" w:bidi="ar"/>
        </w:rPr>
        <w:t>泰顺县小额工程阳光交易不见面交易系统</w:t>
      </w:r>
      <w:r>
        <w:rPr>
          <w:rFonts w:hint="eastAsia" w:ascii="宋体" w:hAnsi="宋体" w:cs="宋体"/>
          <w:highlight w:val="none"/>
          <w:lang w:bidi="ar"/>
        </w:rPr>
        <w:t>参加交易活动，并根据需要使用不见面交</w:t>
      </w:r>
      <w:r>
        <w:rPr>
          <w:rFonts w:hint="eastAsia" w:ascii="宋体" w:hAnsi="宋体" w:cs="宋体"/>
          <w:lang w:bidi="ar"/>
        </w:rPr>
        <w:t>易系统与现场发包人进行互动交流、澄清、质疑等活动。</w:t>
      </w:r>
    </w:p>
    <w:p w14:paraId="631CB4A1">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九）交易、评审过程中，参与远程交流互动的各竞包人应始终为同一个人，中途不得更换，在否决竞包、澄清、质疑等特殊情况下需要交流互动时，竞包人一端参与交流互动的人员只能是竞包人的法定代表人或授权委托人，竞包人不得以不承认交流互动人员的资格或身份等为借口推脱，竞包人自行承担随意更换人员导致的一切后果。</w:t>
      </w:r>
    </w:p>
    <w:p w14:paraId="18F82C72">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（十）根据评审办法进行系数抽取时，采用现场摇球机随机摇球抽取方式。但受网络带宽、硬件设备等因素影响，远程竞包人通过泰顺县小额工程阳光交易</w:t>
      </w:r>
      <w:r>
        <w:rPr>
          <w:rFonts w:hint="eastAsia" w:ascii="宋体" w:hAnsi="宋体" w:cs="宋体"/>
          <w:lang w:val="en-US" w:eastAsia="zh-CN" w:bidi="ar"/>
        </w:rPr>
        <w:t>系统</w:t>
      </w:r>
      <w:r>
        <w:rPr>
          <w:rFonts w:hint="eastAsia" w:ascii="宋体" w:hAnsi="宋体" w:cs="宋体"/>
          <w:lang w:bidi="ar"/>
        </w:rPr>
        <w:t>不见面交易大厅观看时，可能会出现卡顿现象，请竞包人提前调试设备及网络。</w:t>
      </w:r>
    </w:p>
    <w:p w14:paraId="5FC11B31">
      <w:pPr>
        <w:wordWrap w:val="0"/>
        <w:topLinePunct/>
        <w:autoSpaceDE/>
        <w:snapToGrid w:val="0"/>
        <w:spacing w:line="360" w:lineRule="auto"/>
        <w:ind w:firstLine="422" w:firstLineChars="200"/>
        <w:rPr>
          <w:rFonts w:hint="eastAsia" w:ascii="宋体" w:hAnsi="宋体" w:eastAsia="宋体" w:cs="宋体"/>
          <w:b/>
          <w:bCs/>
          <w:lang w:bidi="ar"/>
        </w:rPr>
      </w:pPr>
      <w:r>
        <w:rPr>
          <w:rFonts w:hint="eastAsia" w:ascii="宋体" w:hAnsi="宋体" w:eastAsia="宋体" w:cs="宋体"/>
          <w:b/>
          <w:bCs/>
          <w:lang w:bidi="ar"/>
        </w:rPr>
        <w:t>二、系统操作注意事项</w:t>
      </w:r>
    </w:p>
    <w:p w14:paraId="43D8820A">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（一）软硬件及网络要求</w:t>
      </w:r>
    </w:p>
    <w:p w14:paraId="1F999204">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1.参与不见面交易的电脑须具有 4G 以上内存，windows7 及以上操作系统，并且安装有清晰可用的摄像头、音响和麦克风设备。</w:t>
      </w:r>
    </w:p>
    <w:p w14:paraId="45911842">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2.参与不见面交易的电脑须安装正确驱动，可在“</w:t>
      </w:r>
      <w:r>
        <w:rPr>
          <w:rFonts w:hint="eastAsia" w:ascii="宋体" w:hAnsi="宋体" w:cs="宋体"/>
          <w:lang w:val="en-US" w:eastAsia="zh-CN" w:bidi="ar"/>
        </w:rPr>
        <w:t>泰顺县小额工程阳光交易网-办事指南</w:t>
      </w:r>
      <w:r>
        <w:rPr>
          <w:rFonts w:hint="eastAsia" w:ascii="宋体" w:hAnsi="宋体" w:cs="宋体"/>
          <w:lang w:bidi="ar"/>
        </w:rPr>
        <w:t>”栏目下进行驱动下载及后续安装。</w:t>
      </w:r>
    </w:p>
    <w:p w14:paraId="6D30AE48">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 xml:space="preserve">3.不见面交易系统因接入交易室视频直播等功能，推荐使用IE11浏览器。 </w:t>
      </w:r>
    </w:p>
    <w:p w14:paraId="7F9F3AE9">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4.为更好实时查看不见面交易室现场，推荐使用50M 及以上网络宽带。</w:t>
      </w:r>
    </w:p>
    <w:p w14:paraId="3301BB06">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（二）交易过程注意事项</w:t>
      </w:r>
    </w:p>
    <w:p w14:paraId="3C1F51E9">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1.交易当天，竞包人应于交易前提前登录系统，进入所竞包项目。</w:t>
      </w:r>
    </w:p>
    <w:p w14:paraId="674B41AD">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2.交易过程中请重点关注不见面交易大厅互动区消息，及时查阅，并根据消息提醒及时进行竞包文件在线解密等操作。</w:t>
      </w:r>
    </w:p>
    <w:p w14:paraId="714ABFED">
      <w:pPr>
        <w:wordWrap w:val="0"/>
        <w:topLinePunct/>
        <w:autoSpaceDE/>
        <w:snapToGrid w:val="0"/>
        <w:spacing w:line="360" w:lineRule="auto"/>
        <w:ind w:firstLine="420" w:firstLineChars="200"/>
        <w:rPr>
          <w:rFonts w:hint="eastAsia" w:ascii="宋体" w:hAnsi="宋体" w:cs="宋体"/>
          <w:lang w:bidi="ar"/>
        </w:rPr>
      </w:pPr>
      <w:r>
        <w:rPr>
          <w:rFonts w:hint="eastAsia" w:ascii="宋体" w:hAnsi="宋体" w:cs="宋体"/>
          <w:lang w:bidi="ar"/>
        </w:rPr>
        <w:t>3.项目进入竞包文件在线解密阶段后，须在规定解密时间内使用相应的竞包文件CA证书进行在线解密，否则将无法解密。</w:t>
      </w:r>
    </w:p>
    <w:p w14:paraId="7D867634">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4.在CA证书解密多次解密失败后，请及时进行反馈。</w:t>
      </w:r>
    </w:p>
    <w:p w14:paraId="222966C3">
      <w:pPr>
        <w:wordWrap w:val="0"/>
        <w:topLinePunct/>
        <w:autoSpaceDE/>
        <w:snapToGrid w:val="0"/>
        <w:spacing w:line="360" w:lineRule="auto"/>
        <w:ind w:firstLine="422" w:firstLineChars="200"/>
        <w:rPr>
          <w:rFonts w:hint="eastAsia" w:ascii="宋体" w:hAnsi="宋体" w:eastAsia="宋体" w:cs="宋体"/>
          <w:b/>
          <w:bCs/>
          <w:lang w:bidi="ar"/>
        </w:rPr>
      </w:pPr>
      <w:r>
        <w:rPr>
          <w:rFonts w:hint="eastAsia" w:ascii="宋体" w:hAnsi="宋体" w:eastAsia="宋体" w:cs="宋体"/>
          <w:b/>
          <w:bCs/>
          <w:lang w:bidi="ar"/>
        </w:rPr>
        <w:t>三、技术支持</w:t>
      </w:r>
    </w:p>
    <w:p w14:paraId="186A384E">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（一）若遇问题可通过以下方式联系工作人员。</w:t>
      </w:r>
    </w:p>
    <w:p w14:paraId="3217EDFB">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电话</w:t>
      </w:r>
      <w:r>
        <w:rPr>
          <w:rFonts w:hint="eastAsia" w:ascii="宋体" w:hAnsi="宋体" w:cs="宋体"/>
          <w:bCs/>
        </w:rPr>
        <w:t>4009980000</w:t>
      </w:r>
      <w:r>
        <w:rPr>
          <w:rFonts w:hint="eastAsia" w:ascii="宋体" w:hAnsi="宋体" w:cs="宋体"/>
          <w:lang w:bidi="ar"/>
        </w:rPr>
        <w:t>。</w:t>
      </w:r>
    </w:p>
    <w:p w14:paraId="0399EBB4">
      <w:pPr>
        <w:wordWrap w:val="0"/>
        <w:topLinePunct/>
        <w:autoSpaceDE/>
        <w:snapToGrid w:val="0"/>
        <w:spacing w:line="360" w:lineRule="auto"/>
        <w:ind w:firstLine="420" w:firstLineChars="200"/>
        <w:rPr>
          <w:rFonts w:hint="eastAsia" w:ascii="宋体" w:hAnsi="宋体" w:eastAsia="宋体" w:cs="宋体"/>
          <w:lang w:eastAsia="zh-CN" w:bidi="ar"/>
        </w:rPr>
      </w:pPr>
      <w:r>
        <w:rPr>
          <w:rFonts w:hint="eastAsia" w:ascii="宋体" w:hAnsi="宋体" w:cs="宋体"/>
          <w:lang w:eastAsia="zh-CN" w:bidi="ar"/>
        </w:rPr>
        <w:t>（</w:t>
      </w:r>
      <w:r>
        <w:rPr>
          <w:rFonts w:hint="eastAsia" w:ascii="宋体" w:hAnsi="宋体" w:cs="宋体"/>
          <w:lang w:val="en-US" w:eastAsia="zh-CN" w:bidi="ar"/>
        </w:rPr>
        <w:t>二）</w:t>
      </w:r>
      <w:r>
        <w:rPr>
          <w:rFonts w:hint="eastAsia" w:ascii="宋体" w:hAnsi="宋体" w:cs="宋体"/>
          <w:lang w:bidi="ar"/>
        </w:rPr>
        <w:t>为更直观了解、掌握本系统使用方法，建议在具体项目交易前先浏览本系统相关操作手册和视频，可在本系统登录界面的操作手册页面进行下载、查看。关于后续常见问题及注意事项，请及时关注泰顺县小额工程阳光交易网（https://taishun.etrading.cn/）</w:t>
      </w:r>
      <w:r>
        <w:rPr>
          <w:rFonts w:hint="eastAsia" w:ascii="宋体" w:hAnsi="宋体" w:cs="宋体"/>
          <w:lang w:eastAsia="zh-CN" w:bidi="ar"/>
        </w:rPr>
        <w:t>。</w:t>
      </w:r>
    </w:p>
    <w:p w14:paraId="1C99CC7C">
      <w:pPr>
        <w:wordWrap w:val="0"/>
        <w:topLinePunct/>
        <w:autoSpaceDE/>
        <w:snapToGrid w:val="0"/>
        <w:spacing w:line="360" w:lineRule="auto"/>
        <w:ind w:firstLine="422" w:firstLineChars="200"/>
        <w:rPr>
          <w:rFonts w:hint="eastAsia" w:ascii="宋体" w:hAnsi="宋体" w:eastAsia="宋体" w:cs="宋体"/>
          <w:b/>
          <w:bCs/>
          <w:lang w:bidi="ar"/>
        </w:rPr>
      </w:pPr>
      <w:r>
        <w:rPr>
          <w:rFonts w:hint="eastAsia" w:ascii="宋体" w:hAnsi="宋体" w:eastAsia="宋体" w:cs="宋体"/>
          <w:b/>
          <w:bCs/>
          <w:lang w:bidi="ar"/>
        </w:rPr>
        <w:t>四、交易</w:t>
      </w:r>
      <w:r>
        <w:rPr>
          <w:rFonts w:hint="eastAsia" w:ascii="宋体" w:hAnsi="宋体" w:cs="宋体"/>
          <w:b/>
          <w:bCs/>
          <w:lang w:val="en-US" w:eastAsia="zh-CN" w:bidi="ar"/>
        </w:rPr>
        <w:t>会</w:t>
      </w:r>
      <w:r>
        <w:rPr>
          <w:rFonts w:hint="eastAsia" w:ascii="宋体" w:hAnsi="宋体" w:eastAsia="宋体" w:cs="宋体"/>
          <w:b/>
          <w:bCs/>
          <w:lang w:bidi="ar"/>
        </w:rPr>
        <w:t>流程</w:t>
      </w:r>
    </w:p>
    <w:p w14:paraId="3C9D9884">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1、主持人宣布交易纪律；</w:t>
      </w:r>
    </w:p>
    <w:p w14:paraId="395B2462">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2、宣布发包人代表、主持人、记录人、监督人等有关人员名单；</w:t>
      </w:r>
    </w:p>
    <w:p w14:paraId="5F632D98">
      <w:pPr>
        <w:wordWrap w:val="0"/>
        <w:topLinePunct/>
        <w:autoSpaceDE/>
        <w:snapToGrid w:val="0"/>
        <w:spacing w:line="360" w:lineRule="auto"/>
        <w:ind w:firstLine="420" w:firstLineChars="200"/>
        <w:rPr>
          <w:rFonts w:ascii="宋体" w:hAnsi="宋体" w:cs="宋体"/>
          <w:lang w:bidi="ar"/>
        </w:rPr>
      </w:pPr>
      <w:r>
        <w:rPr>
          <w:rFonts w:hint="eastAsia" w:ascii="宋体" w:hAnsi="宋体" w:cs="宋体"/>
          <w:lang w:bidi="ar"/>
        </w:rPr>
        <w:t>3、公布在竞包截止时间前递交竞包文件的竞包人名称。公布竞包人数量：</w:t>
      </w:r>
      <w:r>
        <w:rPr>
          <w:rFonts w:hint="eastAsia" w:ascii="宋体" w:hAnsi="宋体" w:cs="宋体"/>
          <w:lang w:val="en-US" w:eastAsia="zh-CN" w:bidi="ar"/>
        </w:rPr>
        <w:t>发包</w:t>
      </w:r>
      <w:r>
        <w:rPr>
          <w:rFonts w:hint="eastAsia" w:ascii="宋体" w:hAnsi="宋体" w:cs="宋体"/>
          <w:lang w:bidi="ar"/>
        </w:rPr>
        <w:t>人公布竞包人数量及竞包保证金缴纳情况。</w:t>
      </w:r>
      <w:r>
        <w:rPr>
          <w:rFonts w:hint="eastAsia" w:ascii="宋体" w:hAnsi="宋体" w:cs="宋体"/>
          <w:lang w:val="en-US" w:eastAsia="zh-CN" w:bidi="ar"/>
        </w:rPr>
        <w:t>采用公开竞包的，</w:t>
      </w:r>
      <w:r>
        <w:rPr>
          <w:rFonts w:hint="eastAsia" w:ascii="宋体" w:hAnsi="宋体" w:cs="宋体"/>
          <w:lang w:bidi="ar"/>
        </w:rPr>
        <w:t>若开标系统显示已递交</w:t>
      </w:r>
      <w:r>
        <w:rPr>
          <w:rFonts w:hint="eastAsia" w:ascii="宋体" w:hAnsi="宋体" w:cs="宋体"/>
          <w:lang w:val="en-US" w:eastAsia="zh-CN" w:bidi="ar"/>
        </w:rPr>
        <w:t>竞包</w:t>
      </w:r>
      <w:r>
        <w:rPr>
          <w:rFonts w:hint="eastAsia" w:ascii="宋体" w:hAnsi="宋体" w:cs="宋体"/>
          <w:lang w:bidi="ar"/>
        </w:rPr>
        <w:t>文件的单位数量</w:t>
      </w:r>
      <w:r>
        <w:rPr>
          <w:rFonts w:hint="eastAsia" w:ascii="宋体" w:hAnsi="宋体" w:cs="宋体"/>
          <w:lang w:val="en-US" w:eastAsia="zh-CN" w:bidi="ar"/>
        </w:rPr>
        <w:t>大</w:t>
      </w:r>
      <w:r>
        <w:rPr>
          <w:rFonts w:hint="eastAsia" w:ascii="宋体" w:hAnsi="宋体" w:cs="宋体"/>
          <w:lang w:bidi="ar"/>
        </w:rPr>
        <w:t>于</w:t>
      </w:r>
      <w:r>
        <w:rPr>
          <w:rFonts w:hint="eastAsia" w:ascii="宋体" w:hAnsi="宋体" w:cs="宋体"/>
          <w:lang w:val="en-US" w:eastAsia="zh-CN" w:bidi="ar"/>
        </w:rPr>
        <w:t>等于1</w:t>
      </w:r>
      <w:r>
        <w:rPr>
          <w:rFonts w:hint="eastAsia" w:ascii="宋体" w:hAnsi="宋体" w:cs="宋体"/>
          <w:lang w:bidi="ar"/>
        </w:rPr>
        <w:t>家，</w:t>
      </w:r>
      <w:r>
        <w:rPr>
          <w:rFonts w:hint="eastAsia"/>
          <w:szCs w:val="21"/>
        </w:rPr>
        <w:t>进入</w:t>
      </w:r>
      <w:r>
        <w:rPr>
          <w:rFonts w:hint="eastAsia" w:ascii="宋体" w:hAnsi="宋体" w:cs="宋体"/>
          <w:lang w:val="en-US" w:eastAsia="zh-CN" w:bidi="ar"/>
        </w:rPr>
        <w:t>竞包</w:t>
      </w:r>
      <w:r>
        <w:rPr>
          <w:rFonts w:hint="eastAsia"/>
          <w:szCs w:val="21"/>
        </w:rPr>
        <w:t>人解密环节。</w:t>
      </w:r>
      <w:r>
        <w:rPr>
          <w:rFonts w:hint="eastAsia" w:ascii="宋体" w:hAnsi="宋体" w:cs="宋体"/>
          <w:lang w:val="en-US" w:eastAsia="zh-CN" w:bidi="ar"/>
        </w:rPr>
        <w:t>采用邀请竞包的，</w:t>
      </w:r>
      <w:r>
        <w:rPr>
          <w:rFonts w:hint="eastAsia" w:ascii="宋体" w:hAnsi="宋体" w:cs="宋体"/>
          <w:lang w:bidi="ar"/>
        </w:rPr>
        <w:t>若开标系统显示已递交</w:t>
      </w:r>
      <w:r>
        <w:rPr>
          <w:rFonts w:hint="eastAsia" w:ascii="宋体" w:hAnsi="宋体" w:cs="宋体"/>
          <w:lang w:val="en-US" w:eastAsia="zh-CN" w:bidi="ar"/>
        </w:rPr>
        <w:t>竞包</w:t>
      </w:r>
      <w:r>
        <w:rPr>
          <w:rFonts w:hint="eastAsia" w:ascii="宋体" w:hAnsi="宋体" w:cs="宋体"/>
          <w:lang w:bidi="ar"/>
        </w:rPr>
        <w:t>文件的单位数量</w:t>
      </w:r>
      <w:r>
        <w:rPr>
          <w:rFonts w:hint="eastAsia" w:ascii="宋体" w:hAnsi="宋体" w:cs="宋体"/>
          <w:lang w:val="en-US" w:eastAsia="zh-CN" w:bidi="ar"/>
        </w:rPr>
        <w:t>少</w:t>
      </w:r>
      <w:r>
        <w:rPr>
          <w:rFonts w:hint="eastAsia" w:ascii="宋体" w:hAnsi="宋体" w:cs="宋体"/>
          <w:lang w:bidi="ar"/>
        </w:rPr>
        <w:t>于</w:t>
      </w:r>
      <w:r>
        <w:rPr>
          <w:rFonts w:hint="eastAsia" w:ascii="宋体" w:hAnsi="宋体" w:cs="宋体"/>
          <w:lang w:val="en-US" w:eastAsia="zh-CN" w:bidi="ar"/>
        </w:rPr>
        <w:t>3</w:t>
      </w:r>
      <w:r>
        <w:rPr>
          <w:rFonts w:hint="eastAsia" w:ascii="宋体" w:hAnsi="宋体" w:cs="宋体"/>
          <w:lang w:bidi="ar"/>
        </w:rPr>
        <w:t>家，</w:t>
      </w:r>
      <w:r>
        <w:rPr>
          <w:rFonts w:hint="eastAsia" w:ascii="宋体" w:hAnsi="宋体" w:cs="宋体"/>
          <w:lang w:val="en-US" w:eastAsia="zh-CN" w:bidi="ar"/>
        </w:rPr>
        <w:t>发包</w:t>
      </w:r>
      <w:r>
        <w:rPr>
          <w:rFonts w:hint="eastAsia" w:ascii="宋体" w:hAnsi="宋体" w:cs="宋体"/>
          <w:lang w:bidi="ar"/>
        </w:rPr>
        <w:t>人公布已递交</w:t>
      </w:r>
      <w:r>
        <w:rPr>
          <w:rFonts w:hint="eastAsia" w:ascii="宋体" w:hAnsi="宋体" w:cs="宋体"/>
          <w:lang w:val="en-US" w:eastAsia="zh-CN" w:bidi="ar"/>
        </w:rPr>
        <w:t>竞包</w:t>
      </w:r>
      <w:r>
        <w:rPr>
          <w:rFonts w:hint="eastAsia" w:ascii="宋体" w:hAnsi="宋体" w:cs="宋体"/>
          <w:lang w:bidi="ar"/>
        </w:rPr>
        <w:t>文件单位名称，当场宣布招标失败，结束开标。</w:t>
      </w:r>
    </w:p>
    <w:p w14:paraId="193C9C06">
      <w:pPr>
        <w:wordWrap w:val="0"/>
        <w:topLinePunct/>
        <w:autoSpaceDE/>
        <w:snapToGrid w:val="0"/>
        <w:spacing w:line="360" w:lineRule="auto"/>
        <w:ind w:firstLine="420" w:firstLineChars="200"/>
        <w:rPr>
          <w:rFonts w:hint="eastAsia" w:ascii="宋体" w:hAnsi="宋体" w:cs="宋体"/>
          <w:lang w:bidi="ar"/>
        </w:rPr>
      </w:pPr>
    </w:p>
    <w:p w14:paraId="5786630C">
      <w:pPr>
        <w:wordWrap w:val="0"/>
        <w:topLinePunct/>
        <w:autoSpaceDE/>
        <w:spacing w:line="360" w:lineRule="auto"/>
        <w:outlineLvl w:val="2"/>
        <w:rPr>
          <w:rFonts w:hint="eastAsia" w:ascii="宋体" w:hAnsi="宋体"/>
          <w:b/>
          <w:sz w:val="32"/>
          <w:szCs w:val="32"/>
        </w:rPr>
      </w:pPr>
      <w:r>
        <w:rPr>
          <w:rFonts w:hint="eastAsia" w:ascii="Arial" w:hAnsi="Arial" w:cs="Arial"/>
          <w:highlight w:val="yellow"/>
          <w:lang w:bidi="ar"/>
        </w:rPr>
        <w:br w:type="page"/>
      </w:r>
      <w:bookmarkStart w:id="186" w:name="_Toc26696"/>
      <w:r>
        <w:rPr>
          <w:rFonts w:hint="eastAsia" w:ascii="宋体" w:hAnsi="宋体"/>
          <w:b/>
          <w:sz w:val="32"/>
          <w:szCs w:val="32"/>
        </w:rPr>
        <w:t>附件3、竞包保证金注意事项</w:t>
      </w:r>
      <w:bookmarkEnd w:id="184"/>
      <w:bookmarkEnd w:id="186"/>
    </w:p>
    <w:p w14:paraId="14F2E6ED">
      <w:pPr>
        <w:numPr>
          <w:ilvl w:val="0"/>
          <w:numId w:val="0"/>
        </w:numPr>
        <w:wordWrap w:val="0"/>
        <w:topLinePunct/>
        <w:autoSpaceDE/>
        <w:snapToGrid w:val="0"/>
        <w:spacing w:line="360" w:lineRule="auto"/>
        <w:ind w:firstLine="420" w:firstLineChars="200"/>
        <w:rPr>
          <w:rFonts w:hint="eastAsia" w:ascii="Times New Roman" w:hAnsi="Times New Roman" w:eastAsia="宋体" w:cs="Times New Roman"/>
          <w:kern w:val="2"/>
          <w:sz w:val="21"/>
          <w:szCs w:val="24"/>
          <w:lang w:val="en-US" w:eastAsia="zh-CN" w:bidi="ar-SA"/>
        </w:rPr>
      </w:pPr>
    </w:p>
    <w:p w14:paraId="0117A4BE">
      <w:pPr>
        <w:keepNext w:val="0"/>
        <w:keepLines w:val="0"/>
        <w:pageBreakBefore w:val="0"/>
        <w:widowControl w:val="0"/>
        <w:numPr>
          <w:ilvl w:val="0"/>
          <w:numId w:val="0"/>
        </w:numPr>
        <w:kinsoku/>
        <w:wordWrap w:val="0"/>
        <w:overflowPunct/>
        <w:topLinePunct/>
        <w:autoSpaceDE/>
        <w:autoSpaceDN/>
        <w:bidi w:val="0"/>
        <w:adjustRightInd/>
        <w:snapToGrid w:val="0"/>
        <w:spacing w:line="480" w:lineRule="exact"/>
        <w:ind w:firstLine="422" w:firstLineChars="200"/>
        <w:textAlignment w:val="auto"/>
        <w:rPr>
          <w:b/>
          <w:bCs/>
        </w:rPr>
      </w:pPr>
      <w:r>
        <w:rPr>
          <w:rFonts w:hint="eastAsia" w:ascii="Times New Roman" w:hAnsi="Times New Roman" w:eastAsia="宋体" w:cs="Times New Roman"/>
          <w:b/>
          <w:bCs/>
          <w:kern w:val="2"/>
          <w:sz w:val="21"/>
          <w:szCs w:val="24"/>
          <w:lang w:val="en-US" w:eastAsia="zh-CN" w:bidi="ar-SA"/>
        </w:rPr>
        <w:t>一、</w:t>
      </w:r>
      <w:r>
        <w:rPr>
          <w:rFonts w:hint="eastAsia" w:ascii="宋体" w:hAnsi="宋体" w:cs="宋体"/>
          <w:b/>
          <w:bCs/>
          <w:lang w:bidi="ar"/>
        </w:rPr>
        <w:t>竞包保证金缴纳的形式</w:t>
      </w:r>
    </w:p>
    <w:p w14:paraId="0C05C2A0">
      <w:pPr>
        <w:keepNext w:val="0"/>
        <w:keepLines w:val="0"/>
        <w:pageBreakBefore w:val="0"/>
        <w:widowControl w:val="0"/>
        <w:kinsoku/>
        <w:wordWrap w:val="0"/>
        <w:overflowPunct/>
        <w:topLinePunct/>
        <w:autoSpaceDE/>
        <w:autoSpaceDN/>
        <w:bidi w:val="0"/>
        <w:adjustRightInd/>
        <w:snapToGrid w:val="0"/>
        <w:spacing w:line="480" w:lineRule="exact"/>
        <w:ind w:firstLine="420" w:firstLineChars="200"/>
        <w:textAlignment w:val="auto"/>
        <w:rPr>
          <w:rFonts w:hint="eastAsia" w:ascii="宋体" w:hAnsi="宋体" w:cs="宋体"/>
          <w:lang w:bidi="ar"/>
        </w:rPr>
      </w:pPr>
      <w:r>
        <w:rPr>
          <w:rFonts w:hint="eastAsia" w:ascii="宋体" w:hAnsi="宋体" w:cs="宋体"/>
          <w:lang w:bidi="ar"/>
        </w:rPr>
        <w:t>（一）银行基本账户转账。 银行基本账户转账：竞包人登录交易系统，在保证金缴纳页面的缴纳方式中选择“获取支付账号”，即获取针对竞包人此次竞包项目标段的竞包保证金子账号，并通过竞包人银行基本账户向该竞包保证金子账号缴纳本项目竞包保证金。</w:t>
      </w:r>
    </w:p>
    <w:p w14:paraId="77AD6962">
      <w:pPr>
        <w:keepNext w:val="0"/>
        <w:keepLines w:val="0"/>
        <w:pageBreakBefore w:val="0"/>
        <w:widowControl w:val="0"/>
        <w:kinsoku/>
        <w:wordWrap w:val="0"/>
        <w:overflowPunct/>
        <w:topLinePunct/>
        <w:autoSpaceDE/>
        <w:autoSpaceDN/>
        <w:bidi w:val="0"/>
        <w:adjustRightInd/>
        <w:snapToGrid w:val="0"/>
        <w:spacing w:line="480" w:lineRule="exact"/>
        <w:ind w:firstLine="420" w:firstLineChars="200"/>
        <w:textAlignment w:val="auto"/>
        <w:rPr>
          <w:rFonts w:hint="eastAsia" w:ascii="宋体" w:hAnsi="宋体" w:cs="宋体"/>
          <w:lang w:bidi="ar"/>
        </w:rPr>
      </w:pPr>
      <w:r>
        <w:rPr>
          <w:rFonts w:hint="eastAsia" w:ascii="宋体" w:hAnsi="宋体" w:cs="宋体"/>
          <w:lang w:bidi="ar"/>
        </w:rPr>
        <w:t>（二）竞包保函（保单）</w:t>
      </w:r>
    </w:p>
    <w:p w14:paraId="13903EDF">
      <w:pPr>
        <w:keepNext w:val="0"/>
        <w:keepLines w:val="0"/>
        <w:pageBreakBefore w:val="0"/>
        <w:widowControl w:val="0"/>
        <w:kinsoku/>
        <w:wordWrap w:val="0"/>
        <w:overflowPunct/>
        <w:topLinePunct/>
        <w:autoSpaceDE/>
        <w:autoSpaceDN/>
        <w:bidi w:val="0"/>
        <w:adjustRightInd/>
        <w:snapToGrid w:val="0"/>
        <w:spacing w:line="480" w:lineRule="exact"/>
        <w:ind w:firstLine="420" w:firstLineChars="200"/>
        <w:textAlignment w:val="auto"/>
        <w:rPr>
          <w:rFonts w:hint="eastAsia" w:ascii="宋体" w:hAnsi="宋体" w:cs="宋体"/>
          <w:lang w:bidi="ar"/>
        </w:rPr>
      </w:pPr>
      <w:r>
        <w:rPr>
          <w:rFonts w:hint="eastAsia" w:ascii="宋体" w:hAnsi="宋体" w:cs="宋体"/>
          <w:lang w:bidi="ar"/>
        </w:rPr>
        <w:t>竞包保函（保单）：竞包人登录交易系统，在保证金缴纳页面选择保证金缴纳方式中选择“保函（保单）”，点击“点此办理电子保函（保单）”，并通过竞包人基本账户向保函公司缴纳保函费用。</w:t>
      </w:r>
    </w:p>
    <w:p w14:paraId="5F3B0AA9">
      <w:pPr>
        <w:keepNext w:val="0"/>
        <w:keepLines w:val="0"/>
        <w:pageBreakBefore w:val="0"/>
        <w:widowControl w:val="0"/>
        <w:kinsoku/>
        <w:wordWrap w:val="0"/>
        <w:overflowPunct/>
        <w:topLinePunct/>
        <w:autoSpaceDE/>
        <w:autoSpaceDN/>
        <w:bidi w:val="0"/>
        <w:adjustRightInd/>
        <w:snapToGrid w:val="0"/>
        <w:spacing w:line="480" w:lineRule="exact"/>
        <w:ind w:firstLine="422" w:firstLineChars="200"/>
        <w:textAlignment w:val="auto"/>
        <w:rPr>
          <w:rFonts w:hint="eastAsia" w:ascii="宋体" w:hAnsi="宋体" w:cs="宋体"/>
          <w:b/>
          <w:bCs/>
          <w:lang w:bidi="ar"/>
        </w:rPr>
      </w:pPr>
      <w:r>
        <w:rPr>
          <w:rFonts w:hint="eastAsia" w:ascii="宋体" w:hAnsi="宋体" w:cs="宋体"/>
          <w:b/>
          <w:bCs/>
          <w:lang w:bidi="ar"/>
        </w:rPr>
        <w:t>二、为避免影响竞包，建议竞包人提前做好竞包保证金缴纳工作。</w:t>
      </w:r>
    </w:p>
    <w:p w14:paraId="466E38D7">
      <w:pPr>
        <w:keepNext w:val="0"/>
        <w:keepLines w:val="0"/>
        <w:pageBreakBefore w:val="0"/>
        <w:widowControl w:val="0"/>
        <w:kinsoku/>
        <w:wordWrap w:val="0"/>
        <w:overflowPunct/>
        <w:topLinePunct/>
        <w:autoSpaceDE/>
        <w:autoSpaceDN/>
        <w:bidi w:val="0"/>
        <w:adjustRightInd/>
        <w:snapToGrid w:val="0"/>
        <w:spacing w:line="480" w:lineRule="exact"/>
        <w:ind w:firstLine="420" w:firstLineChars="200"/>
        <w:textAlignment w:val="auto"/>
        <w:rPr>
          <w:rFonts w:hint="eastAsia" w:ascii="宋体" w:hAnsi="宋体" w:cs="宋体"/>
          <w:lang w:bidi="ar"/>
        </w:rPr>
      </w:pPr>
      <w:r>
        <w:rPr>
          <w:rFonts w:hint="eastAsia" w:ascii="宋体" w:hAnsi="宋体" w:cs="宋体"/>
          <w:lang w:bidi="ar"/>
        </w:rPr>
        <w:t>银行基本账户转账形式以竞包保证金到账时间为准，竞包保函（保单）形式以交易系统接收到保函（保单）时间为准。</w:t>
      </w:r>
    </w:p>
    <w:p w14:paraId="1DC174E0">
      <w:pPr>
        <w:spacing w:line="360" w:lineRule="auto"/>
        <w:jc w:val="left"/>
        <w:rPr>
          <w:szCs w:val="21"/>
        </w:rPr>
      </w:pPr>
    </w:p>
    <w:p w14:paraId="022D1393">
      <w:pPr>
        <w:spacing w:line="360" w:lineRule="auto"/>
        <w:jc w:val="left"/>
        <w:rPr>
          <w:szCs w:val="21"/>
        </w:rPr>
      </w:pPr>
    </w:p>
    <w:p w14:paraId="1809F80F">
      <w:pPr>
        <w:spacing w:line="360" w:lineRule="auto"/>
        <w:jc w:val="left"/>
        <w:rPr>
          <w:szCs w:val="21"/>
        </w:rPr>
        <w:sectPr>
          <w:headerReference r:id="rId11" w:type="default"/>
          <w:footnotePr>
            <w:numFmt w:val="decimalEnclosedCircleChinese"/>
            <w:numRestart w:val="eachPage"/>
          </w:footnotePr>
          <w:type w:val="continuous"/>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060973EC">
      <w:pPr>
        <w:pStyle w:val="4"/>
        <w:numPr>
          <w:ilvl w:val="0"/>
          <w:numId w:val="2"/>
        </w:numPr>
        <w:jc w:val="center"/>
        <w:rPr>
          <w:rFonts w:hint="eastAsia" w:eastAsia="黑体"/>
          <w:b/>
          <w:sz w:val="32"/>
          <w:szCs w:val="32"/>
          <w:highlight w:val="none"/>
          <w:vertAlign w:val="baseline"/>
          <w:lang w:val="en-US" w:eastAsia="zh-CN"/>
        </w:rPr>
      </w:pPr>
      <w:bookmarkStart w:id="187" w:name="_Toc452457694"/>
      <w:bookmarkStart w:id="188" w:name="_Toc154675055"/>
      <w:r>
        <w:rPr>
          <w:rFonts w:eastAsia="黑体"/>
          <w:szCs w:val="32"/>
          <w:highlight w:val="none"/>
        </w:rPr>
        <w:t xml:space="preserve"> </w:t>
      </w:r>
      <w:bookmarkEnd w:id="187"/>
      <w:bookmarkEnd w:id="188"/>
      <w:bookmarkStart w:id="189" w:name="_Toc32002"/>
      <w:bookmarkStart w:id="190" w:name="_Toc11974"/>
      <w:bookmarkStart w:id="191" w:name="_Toc24962"/>
      <w:r>
        <w:rPr>
          <w:rFonts w:hint="eastAsia" w:eastAsia="黑体"/>
          <w:b/>
          <w:sz w:val="32"/>
          <w:szCs w:val="32"/>
          <w:highlight w:val="none"/>
          <w:vertAlign w:val="baseline"/>
          <w:lang w:val="en-US" w:eastAsia="zh-CN"/>
        </w:rPr>
        <w:t>评审办法</w:t>
      </w:r>
      <w:bookmarkEnd w:id="189"/>
      <w:bookmarkEnd w:id="190"/>
      <w:bookmarkEnd w:id="191"/>
    </w:p>
    <w:p w14:paraId="1EB91153">
      <w:pPr>
        <w:wordWrap w:val="0"/>
        <w:topLinePunct/>
        <w:autoSpaceDE/>
        <w:rPr>
          <w:highlight w:val="none"/>
        </w:rPr>
      </w:pPr>
    </w:p>
    <w:p w14:paraId="16DBCDEB">
      <w:pPr>
        <w:wordWrap w:val="0"/>
        <w:topLinePunct/>
        <w:autoSpaceDE/>
        <w:spacing w:line="360" w:lineRule="auto"/>
        <w:outlineLvl w:val="1"/>
        <w:rPr>
          <w:rFonts w:hint="eastAsia" w:ascii="宋体" w:hAnsi="宋体"/>
          <w:b/>
          <w:sz w:val="32"/>
          <w:szCs w:val="32"/>
          <w:highlight w:val="none"/>
        </w:rPr>
      </w:pPr>
      <w:bookmarkStart w:id="192" w:name="_Toc10138"/>
      <w:bookmarkStart w:id="193" w:name="_Toc31510"/>
      <w:r>
        <w:rPr>
          <w:rFonts w:hint="eastAsia" w:ascii="宋体" w:hAnsi="宋体"/>
          <w:b/>
          <w:sz w:val="32"/>
          <w:szCs w:val="32"/>
          <w:highlight w:val="none"/>
          <w:lang w:eastAsia="zh-CN"/>
        </w:rPr>
        <w:t>□</w:t>
      </w:r>
      <w:r>
        <w:rPr>
          <w:rFonts w:hint="eastAsia" w:ascii="宋体" w:hAnsi="宋体"/>
          <w:b/>
          <w:sz w:val="32"/>
          <w:szCs w:val="32"/>
          <w:highlight w:val="none"/>
        </w:rPr>
        <w:t>评审办法（一）</w:t>
      </w:r>
      <w:bookmarkEnd w:id="192"/>
      <w:bookmarkEnd w:id="193"/>
    </w:p>
    <w:p w14:paraId="5ADC8882">
      <w:pPr>
        <w:wordWrap w:val="0"/>
        <w:topLinePunct/>
        <w:autoSpaceDE/>
        <w:autoSpaceDN/>
        <w:adjustRightInd/>
        <w:spacing w:line="560" w:lineRule="exact"/>
        <w:ind w:firstLine="0" w:firstLineChars="0"/>
        <w:jc w:val="center"/>
        <w:rPr>
          <w:rFonts w:hint="eastAsia" w:ascii="宋体" w:hAnsi="宋体"/>
          <w:b/>
          <w:sz w:val="32"/>
          <w:szCs w:val="32"/>
        </w:rPr>
      </w:pPr>
      <w:r>
        <w:rPr>
          <w:rFonts w:hint="eastAsia" w:ascii="宋体" w:hAnsi="宋体"/>
          <w:b/>
          <w:sz w:val="32"/>
          <w:szCs w:val="32"/>
        </w:rPr>
        <w:t>随机抽取法</w:t>
      </w:r>
    </w:p>
    <w:p w14:paraId="675594A8">
      <w:pPr>
        <w:keepNext w:val="0"/>
        <w:keepLines w:val="0"/>
        <w:pageBreakBefore w:val="0"/>
        <w:kinsoku/>
        <w:overflowPunct/>
        <w:autoSpaceDE/>
        <w:autoSpaceDN/>
        <w:bidi w:val="0"/>
        <w:adjustRightInd/>
        <w:spacing w:line="480" w:lineRule="exact"/>
        <w:ind w:left="0" w:leftChars="0" w:firstLine="482" w:firstLineChars="200"/>
        <w:textAlignment w:val="auto"/>
        <w:rPr>
          <w:rFonts w:hint="eastAsia" w:ascii="宋体" w:hAnsi="宋体" w:cs="宋体"/>
          <w:b/>
          <w:bCs/>
          <w:sz w:val="24"/>
          <w:szCs w:val="24"/>
        </w:rPr>
      </w:pPr>
      <w:r>
        <w:rPr>
          <w:rFonts w:hint="eastAsia" w:ascii="宋体" w:hAnsi="宋体" w:cs="宋体"/>
          <w:b/>
          <w:bCs/>
          <w:sz w:val="24"/>
          <w:szCs w:val="24"/>
        </w:rPr>
        <w:t>一、交易及评审程序</w:t>
      </w:r>
    </w:p>
    <w:p w14:paraId="5F05232F">
      <w:pPr>
        <w:pStyle w:val="34"/>
        <w:keepNext w:val="0"/>
        <w:keepLines w:val="0"/>
        <w:pageBreakBefore w:val="0"/>
        <w:numPr>
          <w:ilvl w:val="0"/>
          <w:numId w:val="0"/>
        </w:numPr>
        <w:kinsoku/>
        <w:overflowPunct/>
        <w:autoSpaceDE/>
        <w:bidi w:val="0"/>
        <w:adjustRightInd/>
        <w:spacing w:line="480" w:lineRule="exact"/>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（一）确定发包价</w:t>
      </w:r>
    </w:p>
    <w:p w14:paraId="63EF5910">
      <w:pPr>
        <w:pStyle w:val="34"/>
        <w:keepNext w:val="0"/>
        <w:keepLines w:val="0"/>
        <w:pageBreakBefore w:val="0"/>
        <w:numPr>
          <w:ilvl w:val="0"/>
          <w:numId w:val="0"/>
        </w:numPr>
        <w:kinsoku/>
        <w:overflowPunct/>
        <w:autoSpaceDE/>
        <w:bidi w:val="0"/>
        <w:adjustRightInd/>
        <w:spacing w:line="480" w:lineRule="exact"/>
        <w:ind w:left="0" w:leftChars="0" w:firstLine="480" w:firstLineChars="200"/>
        <w:jc w:val="left"/>
        <w:textAlignment w:val="auto"/>
        <w:rPr>
          <w:rFonts w:hint="eastAsia" w:ascii="宋体" w:hAnsi="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cs="宋体"/>
          <w:sz w:val="24"/>
          <w:szCs w:val="24"/>
        </w:rPr>
        <w:t>入围竞包人</w:t>
      </w:r>
    </w:p>
    <w:p w14:paraId="21D9E7E7">
      <w:pPr>
        <w:keepNext w:val="0"/>
        <w:keepLines w:val="0"/>
        <w:pageBreakBefore w:val="0"/>
        <w:numPr>
          <w:ilvl w:val="0"/>
          <w:numId w:val="0"/>
        </w:numPr>
        <w:kinsoku/>
        <w:overflowPunct/>
        <w:autoSpaceDE/>
        <w:bidi w:val="0"/>
        <w:adjustRightInd/>
        <w:spacing w:line="480" w:lineRule="exact"/>
        <w:ind w:left="0" w:leftChars="0" w:firstLine="480" w:firstLineChars="200"/>
        <w:textAlignment w:val="auto"/>
        <w:rPr>
          <w:sz w:val="24"/>
          <w:szCs w:val="24"/>
        </w:rPr>
      </w:pPr>
      <w:r>
        <w:rPr>
          <w:rFonts w:hint="eastAsia" w:ascii="Times New Roman" w:hAnsi="Times New Roman" w:eastAsia="宋体" w:cs="Times New Roman"/>
          <w:kern w:val="2"/>
          <w:sz w:val="24"/>
          <w:szCs w:val="24"/>
          <w:lang w:val="en-US" w:eastAsia="zh-CN" w:bidi="ar-SA"/>
        </w:rPr>
        <w:t>（三）</w:t>
      </w:r>
      <w:r>
        <w:rPr>
          <w:rFonts w:hint="eastAsia"/>
          <w:sz w:val="24"/>
          <w:szCs w:val="24"/>
        </w:rPr>
        <w:t>资格审查</w:t>
      </w:r>
    </w:p>
    <w:p w14:paraId="4A4C560C">
      <w:pPr>
        <w:keepNext w:val="0"/>
        <w:keepLines w:val="0"/>
        <w:pageBreakBefore w:val="0"/>
        <w:numPr>
          <w:ilvl w:val="0"/>
          <w:numId w:val="0"/>
        </w:numPr>
        <w:kinsoku/>
        <w:overflowPunct/>
        <w:autoSpaceDE/>
        <w:bidi w:val="0"/>
        <w:adjustRightInd/>
        <w:spacing w:line="480" w:lineRule="exact"/>
        <w:ind w:left="0" w:leftChars="0" w:firstLine="480" w:firstLineChars="200"/>
        <w:textAlignment w:val="auto"/>
        <w:rPr>
          <w:sz w:val="24"/>
          <w:szCs w:val="24"/>
        </w:rPr>
      </w:pPr>
      <w:r>
        <w:rPr>
          <w:rFonts w:hint="eastAsia" w:ascii="Times New Roman" w:hAnsi="Times New Roman" w:eastAsia="宋体" w:cs="Times New Roman"/>
          <w:kern w:val="2"/>
          <w:sz w:val="24"/>
          <w:szCs w:val="24"/>
          <w:lang w:val="en-US" w:eastAsia="zh-CN" w:bidi="ar-SA"/>
        </w:rPr>
        <w:t>（四）</w:t>
      </w:r>
      <w:r>
        <w:rPr>
          <w:rFonts w:hint="eastAsia"/>
          <w:sz w:val="24"/>
          <w:szCs w:val="24"/>
        </w:rPr>
        <w:t>推荐承包候选人</w:t>
      </w:r>
    </w:p>
    <w:p w14:paraId="2332F383">
      <w:pPr>
        <w:keepNext w:val="0"/>
        <w:keepLines w:val="0"/>
        <w:pageBreakBefore w:val="0"/>
        <w:kinsoku/>
        <w:overflowPunct/>
        <w:autoSpaceDE/>
        <w:autoSpaceDN/>
        <w:bidi w:val="0"/>
        <w:adjustRightInd/>
        <w:spacing w:line="480" w:lineRule="exact"/>
        <w:ind w:left="0" w:leftChars="0" w:firstLine="482" w:firstLineChars="200"/>
        <w:textAlignment w:val="auto"/>
        <w:rPr>
          <w:rFonts w:hint="eastAsia" w:ascii="宋体" w:hAnsi="宋体" w:cs="宋体"/>
          <w:b/>
          <w:bCs/>
          <w:sz w:val="24"/>
          <w:szCs w:val="24"/>
        </w:rPr>
      </w:pPr>
      <w:r>
        <w:rPr>
          <w:rFonts w:hint="eastAsia" w:ascii="宋体" w:hAnsi="宋体" w:cs="宋体"/>
          <w:b/>
          <w:bCs/>
          <w:sz w:val="24"/>
          <w:szCs w:val="24"/>
        </w:rPr>
        <w:t>二、确定发包价</w:t>
      </w:r>
    </w:p>
    <w:p w14:paraId="1AB9C587">
      <w:pPr>
        <w:keepNext w:val="0"/>
        <w:keepLines w:val="0"/>
        <w:pageBreakBefore w:val="0"/>
        <w:kinsoku/>
        <w:overflowPunct/>
        <w:autoSpaceDE/>
        <w:bidi w:val="0"/>
        <w:adjustRightInd/>
        <w:spacing w:line="480" w:lineRule="exact"/>
        <w:ind w:left="0" w:leftChars="0" w:firstLine="480" w:firstLineChars="200"/>
        <w:textAlignment w:val="auto"/>
        <w:rPr>
          <w:rFonts w:hint="eastAsia"/>
          <w:sz w:val="24"/>
        </w:rPr>
      </w:pPr>
      <w:r>
        <w:rPr>
          <w:rFonts w:hint="eastAsia"/>
          <w:sz w:val="24"/>
        </w:rPr>
        <w:t>□由发包人标前确定下浮率，详见发包公告或竞包邀请书</w:t>
      </w:r>
      <w:r>
        <w:rPr>
          <w:rFonts w:hint="eastAsia"/>
          <w:sz w:val="24"/>
          <w:lang w:val="en-US" w:eastAsia="zh-CN"/>
        </w:rPr>
        <w:t>第</w:t>
      </w:r>
      <w:r>
        <w:rPr>
          <w:rFonts w:hint="eastAsia"/>
          <w:sz w:val="24"/>
        </w:rPr>
        <w:t>2.</w:t>
      </w:r>
      <w:r>
        <w:rPr>
          <w:rFonts w:hint="eastAsia"/>
          <w:sz w:val="24"/>
          <w:lang w:val="en-US" w:eastAsia="zh-CN"/>
        </w:rPr>
        <w:t>8</w:t>
      </w:r>
      <w:r>
        <w:rPr>
          <w:rFonts w:hint="eastAsia"/>
          <w:sz w:val="24"/>
        </w:rPr>
        <w:t>条；</w:t>
      </w:r>
    </w:p>
    <w:p w14:paraId="118F56F1">
      <w:pPr>
        <w:keepNext w:val="0"/>
        <w:keepLines w:val="0"/>
        <w:pageBreakBefore w:val="0"/>
        <w:kinsoku/>
        <w:overflowPunct/>
        <w:autoSpaceDE/>
        <w:bidi w:val="0"/>
        <w:adjustRightInd/>
        <w:spacing w:line="480" w:lineRule="exact"/>
        <w:ind w:left="0" w:leftChars="0" w:firstLine="480" w:firstLineChars="200"/>
        <w:textAlignment w:val="auto"/>
        <w:rPr>
          <w:rFonts w:hint="eastAsia"/>
          <w:sz w:val="24"/>
          <w:szCs w:val="24"/>
        </w:rPr>
      </w:pPr>
      <w:r>
        <w:rPr>
          <w:rFonts w:hint="eastAsia"/>
          <w:sz w:val="24"/>
        </w:rPr>
        <w:t>□由评审小组根据项目情况各自选取一个评审下浮率K%（3%至X%之间含本身</w:t>
      </w:r>
      <w:r>
        <w:rPr>
          <w:rFonts w:hint="eastAsia"/>
          <w:sz w:val="24"/>
          <w:lang w:eastAsia="zh-CN"/>
        </w:rPr>
        <w:t>，</w:t>
      </w:r>
      <w:r>
        <w:rPr>
          <w:rFonts w:hint="eastAsia"/>
          <w:sz w:val="24"/>
          <w:lang w:val="en-US" w:eastAsia="zh-CN"/>
        </w:rPr>
        <w:t>X值一般不大于12</w:t>
      </w:r>
      <w:r>
        <w:rPr>
          <w:rFonts w:hint="eastAsia"/>
          <w:sz w:val="24"/>
        </w:rPr>
        <w:t>），其平均值即为发包下浮率，发包价=</w:t>
      </w:r>
      <w:r>
        <w:rPr>
          <w:rFonts w:hint="eastAsia"/>
          <w:sz w:val="24"/>
          <w:lang w:val="en-US" w:eastAsia="zh-CN"/>
        </w:rPr>
        <w:t>[</w:t>
      </w:r>
      <w:r>
        <w:rPr>
          <w:rFonts w:hint="eastAsia"/>
          <w:sz w:val="24"/>
          <w:lang w:eastAsia="zh-CN"/>
        </w:rPr>
        <w:t>（</w:t>
      </w:r>
      <w:r>
        <w:rPr>
          <w:rFonts w:hint="eastAsia"/>
          <w:sz w:val="24"/>
        </w:rPr>
        <w:t>1-发包下浮率</w:t>
      </w:r>
      <w:r>
        <w:rPr>
          <w:rFonts w:hint="eastAsia"/>
          <w:sz w:val="24"/>
          <w:lang w:eastAsia="zh-CN"/>
        </w:rPr>
        <w:t>）</w:t>
      </w:r>
      <w:r>
        <w:rPr>
          <w:rFonts w:hint="eastAsia" w:ascii="Times New Roman" w:hAnsi="Times New Roman" w:cs="Times New Roman"/>
          <w:sz w:val="24"/>
        </w:rPr>
        <w:t>×</w:t>
      </w:r>
      <w:r>
        <w:rPr>
          <w:rFonts w:hint="eastAsia"/>
          <w:sz w:val="24"/>
          <w:lang w:eastAsia="zh-CN"/>
        </w:rPr>
        <w:t>（</w:t>
      </w:r>
      <w:r>
        <w:rPr>
          <w:rFonts w:hint="eastAsia"/>
          <w:sz w:val="24"/>
        </w:rPr>
        <w:t>发包控制价-暂列金</w:t>
      </w:r>
      <w:r>
        <w:rPr>
          <w:rFonts w:hint="eastAsia"/>
          <w:sz w:val="24"/>
          <w:lang w:eastAsia="zh-CN"/>
        </w:rPr>
        <w:t>-</w:t>
      </w:r>
      <w:r>
        <w:rPr>
          <w:rFonts w:hint="eastAsia"/>
          <w:sz w:val="24"/>
          <w:lang w:val="en-US" w:eastAsia="zh-CN"/>
        </w:rPr>
        <w:t>暂估价</w:t>
      </w:r>
      <w:r>
        <w:rPr>
          <w:rFonts w:hint="eastAsia"/>
          <w:sz w:val="24"/>
          <w:lang w:eastAsia="zh-CN"/>
        </w:rPr>
        <w:t>）</w:t>
      </w:r>
      <w:r>
        <w:rPr>
          <w:rFonts w:hint="eastAsia"/>
          <w:sz w:val="24"/>
        </w:rPr>
        <w:t>+暂列金</w:t>
      </w:r>
      <w:r>
        <w:rPr>
          <w:rFonts w:hint="eastAsia"/>
          <w:sz w:val="24"/>
          <w:lang w:eastAsia="zh-CN"/>
        </w:rPr>
        <w:t>+</w:t>
      </w:r>
      <w:r>
        <w:rPr>
          <w:rFonts w:hint="eastAsia"/>
          <w:sz w:val="24"/>
          <w:lang w:val="en-US" w:eastAsia="zh-CN"/>
        </w:rPr>
        <w:t>暂估价</w:t>
      </w:r>
      <w:r>
        <w:rPr>
          <w:rFonts w:hint="eastAsia"/>
          <w:sz w:val="24"/>
        </w:rPr>
        <w:t>]</w:t>
      </w:r>
      <w:r>
        <w:rPr>
          <w:rFonts w:hint="eastAsia"/>
          <w:sz w:val="24"/>
          <w:lang w:eastAsia="zh-CN"/>
        </w:rPr>
        <w:t>（</w:t>
      </w:r>
      <w:r>
        <w:rPr>
          <w:rFonts w:hint="eastAsia"/>
          <w:sz w:val="24"/>
        </w:rPr>
        <w:t>取整数部分，小数点后第一位四舍五入</w:t>
      </w:r>
      <w:r>
        <w:rPr>
          <w:rFonts w:hint="eastAsia"/>
          <w:sz w:val="24"/>
          <w:lang w:eastAsia="zh-CN"/>
        </w:rPr>
        <w:t>）</w:t>
      </w:r>
      <w:r>
        <w:rPr>
          <w:rFonts w:hint="eastAsia"/>
          <w:sz w:val="24"/>
        </w:rPr>
        <w:t>，</w:t>
      </w:r>
      <w:r>
        <w:rPr>
          <w:rFonts w:hint="eastAsia"/>
          <w:sz w:val="24"/>
          <w:lang w:eastAsia="zh-CN"/>
        </w:rPr>
        <w:t>交易活动</w:t>
      </w:r>
      <w:r>
        <w:rPr>
          <w:rFonts w:hint="eastAsia"/>
          <w:sz w:val="24"/>
        </w:rPr>
        <w:t>前向竞包人公布，如竞包人不接受发包价，可当场退出竞包</w:t>
      </w:r>
      <w:r>
        <w:rPr>
          <w:rFonts w:hint="eastAsia"/>
          <w:sz w:val="24"/>
          <w:szCs w:val="24"/>
        </w:rPr>
        <w:t>。</w:t>
      </w:r>
    </w:p>
    <w:p w14:paraId="2F504C41">
      <w:pPr>
        <w:pStyle w:val="34"/>
        <w:keepNext w:val="0"/>
        <w:keepLines w:val="0"/>
        <w:pageBreakBefore w:val="0"/>
        <w:kinsoku/>
        <w:overflowPunct/>
        <w:autoSpaceDE/>
        <w:bidi w:val="0"/>
        <w:adjustRightInd/>
        <w:spacing w:line="480" w:lineRule="exact"/>
        <w:ind w:left="0" w:leftChars="0" w:firstLine="482" w:firstLineChars="200"/>
        <w:jc w:val="left"/>
        <w:textAlignment w:val="auto"/>
        <w:rPr>
          <w:rFonts w:hint="eastAsia" w:ascii="宋体" w:hAnsi="宋体" w:cs="宋体"/>
          <w:b/>
          <w:bCs/>
          <w:kern w:val="0"/>
          <w:sz w:val="24"/>
          <w:szCs w:val="24"/>
        </w:rPr>
      </w:pPr>
      <w:r>
        <w:rPr>
          <w:rFonts w:hint="eastAsia" w:ascii="宋体" w:hAnsi="宋体" w:cs="宋体"/>
          <w:b/>
          <w:bCs/>
          <w:kern w:val="0"/>
          <w:sz w:val="24"/>
          <w:szCs w:val="24"/>
        </w:rPr>
        <w:t>三、入围竞包人</w:t>
      </w:r>
    </w:p>
    <w:p w14:paraId="53FE903B">
      <w:pPr>
        <w:keepNext w:val="0"/>
        <w:keepLines w:val="0"/>
        <w:pageBreakBefore w:val="0"/>
        <w:kinsoku/>
        <w:overflowPunct/>
        <w:autoSpaceDE/>
        <w:bidi w:val="0"/>
        <w:adjustRightInd/>
        <w:spacing w:line="480" w:lineRule="exact"/>
        <w:ind w:left="0" w:leftChars="0" w:firstLine="480" w:firstLineChars="200"/>
        <w:textAlignment w:val="auto"/>
        <w:rPr>
          <w:rFonts w:hint="eastAsia"/>
          <w:sz w:val="24"/>
          <w:szCs w:val="24"/>
        </w:rPr>
      </w:pPr>
      <w:r>
        <w:rPr>
          <w:rFonts w:hint="eastAsia"/>
          <w:sz w:val="24"/>
          <w:szCs w:val="24"/>
        </w:rPr>
        <w:t>①按系统上传竞包文件的顺序，确定竞包人号码（第一个上传为1号，第二个上传为2号，以此类推）；</w:t>
      </w:r>
    </w:p>
    <w:p w14:paraId="098F6DFE">
      <w:pPr>
        <w:keepNext w:val="0"/>
        <w:keepLines w:val="0"/>
        <w:pageBreakBefore w:val="0"/>
        <w:kinsoku/>
        <w:overflowPunct/>
        <w:autoSpaceDE/>
        <w:bidi w:val="0"/>
        <w:adjustRightInd/>
        <w:spacing w:line="480" w:lineRule="exact"/>
        <w:ind w:left="0" w:leftChars="0" w:firstLine="480" w:firstLineChars="200"/>
        <w:textAlignment w:val="auto"/>
        <w:rPr>
          <w:rFonts w:hint="eastAsia" w:ascii="宋体" w:hAnsi="宋体" w:cs="宋体"/>
          <w:sz w:val="24"/>
          <w:szCs w:val="24"/>
        </w:rPr>
      </w:pPr>
      <w:r>
        <w:rPr>
          <w:rFonts w:hint="eastAsia"/>
          <w:sz w:val="24"/>
          <w:szCs w:val="24"/>
        </w:rPr>
        <w:t>②现场抽取5个入围号码，对号码相对应的竞包人竞包文件进行资格审查，公开随机抽取一个资格审查通过的竞包人号码，对应的竞包人为承包候选人；（若在评审过程中5家竞包人均不通过时，由发包人再重新抽取相应家数的竞包人入围）</w:t>
      </w:r>
    </w:p>
    <w:p w14:paraId="6B830732">
      <w:pPr>
        <w:pStyle w:val="199"/>
        <w:keepNext w:val="0"/>
        <w:keepLines w:val="0"/>
        <w:pageBreakBefore w:val="0"/>
        <w:kinsoku/>
        <w:wordWrap w:val="0"/>
        <w:overflowPunct/>
        <w:topLinePunct/>
        <w:autoSpaceDE/>
        <w:autoSpaceDN w:val="0"/>
        <w:bidi w:val="0"/>
        <w:adjustRightInd/>
        <w:spacing w:line="480" w:lineRule="exact"/>
        <w:ind w:left="0" w:leftChars="0" w:firstLine="480" w:firstLineChars="200"/>
        <w:textAlignment w:val="auto"/>
        <w:rPr>
          <w:rFonts w:hint="eastAsia" w:cs="宋体"/>
          <w:kern w:val="2"/>
          <w:sz w:val="24"/>
          <w:szCs w:val="24"/>
          <w:lang w:val="en-US"/>
        </w:rPr>
      </w:pPr>
      <w:r>
        <w:rPr>
          <w:rFonts w:hint="eastAsia" w:cs="宋体"/>
          <w:b w:val="0"/>
          <w:bCs w:val="0"/>
          <w:kern w:val="2"/>
          <w:sz w:val="24"/>
          <w:szCs w:val="24"/>
          <w:lang w:val="en-US"/>
        </w:rPr>
        <w:t>备注：</w:t>
      </w:r>
      <w:r>
        <w:rPr>
          <w:rFonts w:hint="eastAsia" w:cs="宋体"/>
          <w:kern w:val="2"/>
          <w:sz w:val="24"/>
          <w:szCs w:val="24"/>
          <w:lang w:val="en-US"/>
        </w:rPr>
        <w:t>若竞包人家数为个位数时，抽取范围确定值为（0—9），全部进入抽取入围资格；如竞包人家数为两位数时，则抽取范围确定值为个位数抽取范围为（0—9），十位数抽取范围为（0—9），先抽十位数，再抽个位数，两位数组合后的数字为入围号（如68家参加，十位数抽取范围确定值为（0-6），个位数抽取范围确定值为（0-8））；如竞包人参加人数为三位数时，则百位数抽取范围确定值为（0-9），十位数抽取范围确定值为（0-9），个位数抽取范围确定值为（0-9），按百位、十位、个位顺序抽取，三位数组合后的数字为入围号，直至抽取5个入围号为止（如345家参加，则百位数抽取范围确定值为（0-3），十位数抽取范围确定值为（0-4），个位数抽取范围确定值为（0-5））。以此类推，如有重复，重新抽取。</w:t>
      </w:r>
    </w:p>
    <w:p w14:paraId="452A4C08">
      <w:pPr>
        <w:keepNext w:val="0"/>
        <w:keepLines w:val="0"/>
        <w:pageBreakBefore w:val="0"/>
        <w:widowControl/>
        <w:kinsoku/>
        <w:overflowPunct/>
        <w:autoSpaceDE/>
        <w:bidi w:val="0"/>
        <w:adjustRightInd/>
        <w:spacing w:line="480" w:lineRule="exact"/>
        <w:ind w:left="0" w:leftChars="0" w:firstLine="482" w:firstLineChars="200"/>
        <w:textAlignment w:val="auto"/>
        <w:rPr>
          <w:rFonts w:hint="eastAsia" w:ascii="宋体" w:hAnsi="宋体" w:cs="宋体"/>
          <w:sz w:val="24"/>
          <w:szCs w:val="24"/>
        </w:rPr>
      </w:pPr>
      <w:r>
        <w:rPr>
          <w:rFonts w:hint="eastAsia" w:ascii="宋体" w:hAnsi="宋体" w:cs="宋体"/>
          <w:b/>
          <w:bCs/>
          <w:sz w:val="24"/>
          <w:szCs w:val="24"/>
        </w:rPr>
        <w:t>四、资格审查</w:t>
      </w:r>
    </w:p>
    <w:p w14:paraId="25AE17AA">
      <w:pPr>
        <w:keepNext w:val="0"/>
        <w:keepLines w:val="0"/>
        <w:pageBreakBefore w:val="0"/>
        <w:widowControl/>
        <w:kinsoku/>
        <w:wordWrap w:val="0"/>
        <w:overflowPunct/>
        <w:topLinePunct/>
        <w:autoSpaceDE/>
        <w:bidi w:val="0"/>
        <w:adjustRightInd/>
        <w:snapToGrid w:val="0"/>
        <w:spacing w:line="480" w:lineRule="exact"/>
        <w:ind w:left="0" w:leftChars="0" w:firstLine="480" w:firstLineChars="200"/>
        <w:textAlignment w:val="auto"/>
        <w:outlineLvl w:val="9"/>
        <w:rPr>
          <w:rFonts w:hint="eastAsia" w:ascii="宋体" w:hAnsi="宋体" w:cs="宋体"/>
          <w:sz w:val="24"/>
          <w:szCs w:val="24"/>
        </w:rPr>
      </w:pPr>
      <w:r>
        <w:rPr>
          <w:rFonts w:hint="eastAsia" w:ascii="宋体" w:hAnsi="宋体" w:cs="宋体"/>
          <w:sz w:val="24"/>
          <w:szCs w:val="24"/>
        </w:rPr>
        <w:t>评审小组对入围的竞包人进行资格审查。</w:t>
      </w:r>
      <w:r>
        <w:rPr>
          <w:rFonts w:hint="eastAsia" w:ascii="宋体" w:hAnsi="宋体" w:cs="宋体"/>
          <w:lang w:val="en-US" w:eastAsia="zh-CN"/>
        </w:rPr>
        <w:t>入围竞包人</w:t>
      </w:r>
      <w:r>
        <w:rPr>
          <w:rFonts w:hint="eastAsia" w:ascii="宋体" w:hAnsi="宋体" w:cs="宋体"/>
          <w:sz w:val="24"/>
          <w:szCs w:val="24"/>
        </w:rPr>
        <w:t>存在竞包人须知前附表10.2情形之一的，评审委员会组织竞包人询问核实后，情况属实的，资格审查不予通过。竞包人不足三家的项目，竞包文件经审查无任何问题，照常按照以上3个条款开展交易活动。审查竞包文件是否按照发包文件要求，提供的竞包资料是否完整、真实、有效，是否响应和符合发包文件要求。评审小组遇竞包文件内容不明确时，可向竞包人作出询问，询问应有询问人和记录人，一般由评审组长任询问人。竞包人应保持在线并电话畅通，接到询问通知时对相关问题给予答复。询问完成形成询问记录，参加询问的代理人员须签字确认。</w:t>
      </w:r>
    </w:p>
    <w:p w14:paraId="0F40AFC1">
      <w:pPr>
        <w:pStyle w:val="199"/>
        <w:keepNext w:val="0"/>
        <w:keepLines w:val="0"/>
        <w:pageBreakBefore w:val="0"/>
        <w:kinsoku/>
        <w:wordWrap w:val="0"/>
        <w:overflowPunct/>
        <w:topLinePunct/>
        <w:autoSpaceDE/>
        <w:autoSpaceDN w:val="0"/>
        <w:bidi w:val="0"/>
        <w:adjustRightInd/>
        <w:spacing w:line="480" w:lineRule="exact"/>
        <w:ind w:left="0" w:leftChars="0" w:firstLine="482" w:firstLineChars="200"/>
        <w:textAlignment w:val="auto"/>
        <w:rPr>
          <w:rFonts w:cs="宋体"/>
          <w:b/>
          <w:bCs/>
          <w:sz w:val="24"/>
          <w:szCs w:val="24"/>
        </w:rPr>
      </w:pPr>
      <w:r>
        <w:rPr>
          <w:rFonts w:hint="eastAsia" w:cs="宋体"/>
          <w:b/>
          <w:bCs/>
          <w:sz w:val="24"/>
          <w:szCs w:val="24"/>
          <w:lang w:val="en-US"/>
        </w:rPr>
        <w:t>五</w:t>
      </w:r>
      <w:r>
        <w:rPr>
          <w:rFonts w:hint="eastAsia" w:cs="宋体"/>
          <w:b/>
          <w:bCs/>
          <w:sz w:val="24"/>
          <w:szCs w:val="24"/>
        </w:rPr>
        <w:t>、推荐承包</w:t>
      </w:r>
      <w:r>
        <w:rPr>
          <w:rFonts w:hint="eastAsia" w:cs="宋体"/>
          <w:b/>
          <w:bCs/>
          <w:sz w:val="24"/>
          <w:szCs w:val="24"/>
          <w:lang w:val="en-US"/>
        </w:rPr>
        <w:t>候选</w:t>
      </w:r>
      <w:r>
        <w:rPr>
          <w:rFonts w:hint="eastAsia" w:cs="宋体"/>
          <w:b/>
          <w:bCs/>
          <w:sz w:val="24"/>
          <w:szCs w:val="24"/>
        </w:rPr>
        <w:t>人</w:t>
      </w:r>
    </w:p>
    <w:p w14:paraId="7DA72779">
      <w:pPr>
        <w:keepNext w:val="0"/>
        <w:keepLines w:val="0"/>
        <w:pageBreakBefore w:val="0"/>
        <w:kinsoku/>
        <w:overflowPunct/>
        <w:autoSpaceDE/>
        <w:autoSpaceDN/>
        <w:bidi w:val="0"/>
        <w:adjustRightInd/>
        <w:spacing w:line="480" w:lineRule="exact"/>
        <w:ind w:left="0" w:leftChars="0" w:firstLine="480" w:firstLineChars="200"/>
        <w:textAlignment w:val="auto"/>
        <w:rPr>
          <w:rFonts w:hint="eastAsia" w:ascii="宋体" w:hAnsi="宋体" w:eastAsia="宋体" w:cs="宋体"/>
          <w:b/>
          <w:bCs/>
          <w:lang w:eastAsia="zh-CN"/>
        </w:rPr>
      </w:pPr>
      <w:r>
        <w:rPr>
          <w:rFonts w:hint="eastAsia" w:ascii="宋体" w:hAnsi="宋体"/>
          <w:sz w:val="24"/>
          <w:szCs w:val="24"/>
        </w:rPr>
        <w:t>评审小组根据评审情况，推荐承包候选人，出具评审报告并签字确认</w:t>
      </w:r>
      <w:r>
        <w:rPr>
          <w:rFonts w:hint="eastAsia" w:ascii="宋体" w:hAnsi="宋体"/>
          <w:sz w:val="24"/>
          <w:szCs w:val="24"/>
          <w:lang w:eastAsia="zh-CN"/>
        </w:rPr>
        <w:t>。</w:t>
      </w:r>
    </w:p>
    <w:p w14:paraId="529AE2CC">
      <w:pPr>
        <w:pStyle w:val="199"/>
        <w:wordWrap w:val="0"/>
        <w:topLinePunct/>
        <w:autoSpaceDN w:val="0"/>
        <w:spacing w:line="560" w:lineRule="exact"/>
        <w:ind w:firstLine="480" w:firstLineChars="200"/>
        <w:rPr>
          <w:rFonts w:hint="eastAsia" w:cs="宋体"/>
          <w:szCs w:val="24"/>
          <w:lang w:val="en-US"/>
        </w:rPr>
      </w:pPr>
    </w:p>
    <w:p w14:paraId="0FD6BFF3">
      <w:pPr>
        <w:pStyle w:val="31"/>
        <w:wordWrap w:val="0"/>
        <w:topLinePunct/>
        <w:autoSpaceDN w:val="0"/>
        <w:spacing w:line="560" w:lineRule="exact"/>
      </w:pPr>
      <w:r>
        <w:rPr>
          <w:rFonts w:hint="eastAsia"/>
        </w:rPr>
        <w:t xml:space="preserve">    </w:t>
      </w:r>
    </w:p>
    <w:p w14:paraId="39AF6302">
      <w:pPr>
        <w:wordWrap w:val="0"/>
        <w:topLinePunct/>
        <w:autoSpaceDE/>
        <w:spacing w:line="560" w:lineRule="exact"/>
      </w:pPr>
    </w:p>
    <w:p w14:paraId="65F32290">
      <w:pPr>
        <w:wordWrap w:val="0"/>
        <w:topLinePunct/>
        <w:autoSpaceDE/>
        <w:spacing w:line="560" w:lineRule="exact"/>
      </w:pPr>
    </w:p>
    <w:p w14:paraId="14E16FFA">
      <w:pPr>
        <w:wordWrap w:val="0"/>
        <w:topLinePunct/>
        <w:autoSpaceDE/>
        <w:spacing w:line="560" w:lineRule="exact"/>
      </w:pPr>
    </w:p>
    <w:p w14:paraId="040A1D2C">
      <w:pPr>
        <w:wordWrap w:val="0"/>
        <w:topLinePunct/>
        <w:autoSpaceDE/>
        <w:spacing w:line="560" w:lineRule="exact"/>
      </w:pPr>
    </w:p>
    <w:p w14:paraId="06D2D5F4">
      <w:pPr>
        <w:wordWrap/>
        <w:topLinePunct w:val="0"/>
        <w:autoSpaceDE/>
        <w:spacing w:line="240" w:lineRule="auto"/>
        <w:outlineLvl w:val="9"/>
        <w:rPr>
          <w:rFonts w:hint="eastAsia" w:ascii="宋体" w:hAnsi="宋体"/>
          <w:b/>
          <w:sz w:val="32"/>
          <w:szCs w:val="32"/>
        </w:rPr>
      </w:pPr>
      <w:bookmarkStart w:id="194" w:name="_Toc25539"/>
      <w:r>
        <w:rPr>
          <w:rFonts w:hint="eastAsia" w:ascii="宋体" w:hAnsi="宋体"/>
          <w:b/>
          <w:sz w:val="32"/>
          <w:szCs w:val="32"/>
        </w:rPr>
        <w:br w:type="page"/>
      </w:r>
    </w:p>
    <w:p w14:paraId="74150FBD">
      <w:pPr>
        <w:wordWrap w:val="0"/>
        <w:topLinePunct/>
        <w:autoSpaceDE/>
        <w:spacing w:line="560" w:lineRule="exact"/>
        <w:outlineLvl w:val="1"/>
        <w:rPr>
          <w:rFonts w:hint="eastAsia" w:ascii="宋体" w:hAnsi="宋体"/>
          <w:b/>
          <w:sz w:val="32"/>
          <w:szCs w:val="32"/>
        </w:rPr>
      </w:pPr>
      <w:bookmarkStart w:id="195" w:name="_Toc23275"/>
      <w:r>
        <w:rPr>
          <w:rFonts w:hint="eastAsia" w:ascii="宋体" w:hAnsi="宋体"/>
          <w:b/>
          <w:sz w:val="32"/>
          <w:szCs w:val="32"/>
        </w:rPr>
        <w:t>□评审办法（二）</w:t>
      </w:r>
      <w:bookmarkEnd w:id="194"/>
      <w:bookmarkEnd w:id="195"/>
    </w:p>
    <w:p w14:paraId="2920DF6B">
      <w:pPr>
        <w:numPr>
          <w:ilvl w:val="-1"/>
          <w:numId w:val="0"/>
        </w:numPr>
        <w:wordWrap/>
        <w:topLinePunct w:val="0"/>
        <w:autoSpaceDE/>
        <w:snapToGrid/>
        <w:spacing w:line="240" w:lineRule="auto"/>
        <w:ind w:firstLine="0" w:firstLineChars="0"/>
        <w:jc w:val="left"/>
        <w:outlineLvl w:val="9"/>
        <w:rPr>
          <w:rFonts w:hint="eastAsia"/>
          <w:lang w:val="en-US" w:eastAsia="zh-CN"/>
        </w:rPr>
      </w:pPr>
    </w:p>
    <w:p w14:paraId="33C99BA2">
      <w:pPr>
        <w:numPr>
          <w:ilvl w:val="0"/>
          <w:numId w:val="0"/>
        </w:numPr>
        <w:wordWrap w:val="0"/>
        <w:topLinePunct/>
        <w:autoSpaceDE/>
        <w:snapToGrid w:val="0"/>
        <w:spacing w:line="560" w:lineRule="exact"/>
        <w:ind w:firstLine="643" w:firstLineChars="200"/>
        <w:jc w:val="center"/>
        <w:outlineLvl w:val="9"/>
        <w:rPr>
          <w:rFonts w:hint="default" w:ascii="宋体" w:hAnsi="宋体" w:eastAsia="宋体" w:cs="宋体"/>
          <w:b/>
          <w:kern w:val="2"/>
          <w:sz w:val="32"/>
          <w:szCs w:val="40"/>
          <w:lang w:val="en-US" w:eastAsia="zh-CN" w:bidi="ar-SA"/>
        </w:rPr>
      </w:pPr>
      <w:r>
        <w:rPr>
          <w:rFonts w:hint="eastAsia" w:ascii="宋体" w:hAnsi="宋体" w:cs="宋体"/>
          <w:b/>
          <w:kern w:val="2"/>
          <w:sz w:val="32"/>
          <w:szCs w:val="40"/>
          <w:lang w:val="en-US" w:eastAsia="zh-CN" w:bidi="ar-SA"/>
        </w:rPr>
        <w:t>下浮率法</w:t>
      </w:r>
    </w:p>
    <w:p w14:paraId="0F9B19F7">
      <w:pPr>
        <w:keepNext w:val="0"/>
        <w:keepLines w:val="0"/>
        <w:pageBreakBefore w:val="0"/>
        <w:numPr>
          <w:ilvl w:val="0"/>
          <w:numId w:val="0"/>
        </w:numPr>
        <w:kinsoku/>
        <w:wordWrap w:val="0"/>
        <w:overflowPunct/>
        <w:topLinePunct/>
        <w:autoSpaceDE/>
        <w:bidi w:val="0"/>
        <w:adjustRightInd/>
        <w:snapToGrid w:val="0"/>
        <w:spacing w:line="400" w:lineRule="exact"/>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交易及评标程序</w:t>
      </w:r>
    </w:p>
    <w:p w14:paraId="1BC00E99">
      <w:pPr>
        <w:pStyle w:val="34"/>
        <w:keepNext w:val="0"/>
        <w:keepLines w:val="0"/>
        <w:pageBreakBefore w:val="0"/>
        <w:numPr>
          <w:ilvl w:val="0"/>
          <w:numId w:val="3"/>
        </w:numPr>
        <w:kinsoku/>
        <w:overflowPunct/>
        <w:autoSpaceDE/>
        <w:bidi w:val="0"/>
        <w:adjustRightInd/>
        <w:spacing w:line="400" w:lineRule="exact"/>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确定发包价</w:t>
      </w:r>
    </w:p>
    <w:p w14:paraId="11843352">
      <w:pPr>
        <w:keepNext w:val="0"/>
        <w:keepLines w:val="0"/>
        <w:pageBreakBefore w:val="0"/>
        <w:kinsoku/>
        <w:overflowPunct/>
        <w:autoSpaceDE/>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（二）入围竞包人</w:t>
      </w:r>
    </w:p>
    <w:p w14:paraId="212B6CAF">
      <w:pPr>
        <w:keepNext w:val="0"/>
        <w:keepLines w:val="0"/>
        <w:pageBreakBefore w:val="0"/>
        <w:kinsoku/>
        <w:overflowPunct/>
        <w:autoSpaceDE/>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（三）资格审查</w:t>
      </w:r>
    </w:p>
    <w:p w14:paraId="6FC4D3F4">
      <w:pPr>
        <w:keepNext w:val="0"/>
        <w:keepLines w:val="0"/>
        <w:pageBreakBefore w:val="0"/>
        <w:kinsoku/>
        <w:overflowPunct/>
        <w:autoSpaceDE/>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（四）推荐承包候选人</w:t>
      </w:r>
    </w:p>
    <w:p w14:paraId="03E86DA2">
      <w:pPr>
        <w:keepNext w:val="0"/>
        <w:keepLines w:val="0"/>
        <w:pageBreakBefore w:val="0"/>
        <w:kinsoku/>
        <w:wordWrap w:val="0"/>
        <w:overflowPunct/>
        <w:topLinePunct/>
        <w:autoSpaceDE/>
        <w:bidi w:val="0"/>
        <w:adjustRightInd/>
        <w:snapToGrid w:val="0"/>
        <w:spacing w:line="400" w:lineRule="exact"/>
        <w:ind w:left="0" w:leftChars="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二、确定发包价</w:t>
      </w:r>
    </w:p>
    <w:p w14:paraId="38D14C12">
      <w:pPr>
        <w:keepNext w:val="0"/>
        <w:keepLines w:val="0"/>
        <w:pageBreakBefore w:val="0"/>
        <w:kinsoku/>
        <w:wordWrap w:val="0"/>
        <w:overflowPunct/>
        <w:topLinePunct/>
        <w:autoSpaceDE/>
        <w:bidi w:val="0"/>
        <w:adjustRightInd/>
        <w:snapToGrid w:val="0"/>
        <w:spacing w:line="400" w:lineRule="exact"/>
        <w:ind w:left="0" w:leftChars="0"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sz w:val="24"/>
          <w:szCs w:val="24"/>
        </w:rPr>
        <w:t>由发包人代表在交易现场随机抽取一个评审下浮率K%（3%至X%之间含本身</w:t>
      </w:r>
      <w:r>
        <w:rPr>
          <w:rFonts w:hint="eastAsia"/>
          <w:sz w:val="24"/>
          <w:lang w:eastAsia="zh-CN"/>
        </w:rPr>
        <w:t>，</w:t>
      </w:r>
      <w:r>
        <w:rPr>
          <w:rFonts w:hint="eastAsia"/>
          <w:sz w:val="24"/>
          <w:lang w:val="en-US" w:eastAsia="zh-CN"/>
        </w:rPr>
        <w:t>X值一般不大于12</w:t>
      </w:r>
      <w:r>
        <w:rPr>
          <w:rFonts w:hint="eastAsia" w:ascii="宋体" w:hAnsi="宋体" w:eastAsia="宋体" w:cs="宋体"/>
          <w:sz w:val="24"/>
          <w:szCs w:val="24"/>
        </w:rPr>
        <w:t>），K值的产生：由一位整数和一位小数组成。K的取值确定办法为：整数取值范围为（3-X），取到整数为X时，小数不再抽取，小数取值范围为（0、0.1、0.2、0.3、0.4、0.5、0.6、0.7、0.8、0.9）；发包价=</w:t>
      </w:r>
      <w:r>
        <w:rPr>
          <w:rFonts w:hint="eastAsia" w:ascii="宋体" w:hAnsi="宋体" w:eastAsia="宋体" w:cs="宋体"/>
          <w:sz w:val="24"/>
          <w:szCs w:val="24"/>
          <w:lang w:eastAsia="zh-CN"/>
        </w:rPr>
        <w:t>〔</w:t>
      </w:r>
      <w:r>
        <w:rPr>
          <w:rFonts w:hint="eastAsia" w:ascii="宋体" w:hAnsi="宋体" w:eastAsia="宋体" w:cs="宋体"/>
          <w:sz w:val="24"/>
          <w:szCs w:val="24"/>
        </w:rPr>
        <w:t>（1-发包下浮率）×（发包控制价-暂列金</w:t>
      </w:r>
      <w:r>
        <w:rPr>
          <w:rFonts w:hint="eastAsia" w:ascii="宋体" w:hAnsi="宋体" w:eastAsia="宋体" w:cs="宋体"/>
          <w:sz w:val="24"/>
          <w:szCs w:val="24"/>
          <w:lang w:val="en-US" w:eastAsia="zh-CN"/>
        </w:rPr>
        <w:t>额</w:t>
      </w:r>
      <w:r>
        <w:rPr>
          <w:rFonts w:hint="eastAsia" w:ascii="宋体" w:hAnsi="宋体" w:eastAsia="宋体" w:cs="宋体"/>
          <w:sz w:val="24"/>
          <w:szCs w:val="24"/>
        </w:rPr>
        <w:t>-</w:t>
      </w:r>
      <w:r>
        <w:rPr>
          <w:rFonts w:hint="eastAsia" w:ascii="宋体" w:hAnsi="宋体" w:cs="宋体"/>
          <w:sz w:val="24"/>
          <w:szCs w:val="24"/>
          <w:lang w:val="en-US" w:eastAsia="zh-CN"/>
        </w:rPr>
        <w:t>暂估价</w:t>
      </w:r>
      <w:r>
        <w:rPr>
          <w:rFonts w:hint="eastAsia" w:ascii="宋体" w:hAnsi="宋体" w:eastAsia="宋体" w:cs="宋体"/>
          <w:sz w:val="24"/>
          <w:szCs w:val="24"/>
        </w:rPr>
        <w:t>）+暂列金</w:t>
      </w:r>
      <w:r>
        <w:rPr>
          <w:rFonts w:hint="eastAsia" w:ascii="宋体" w:hAnsi="宋体" w:eastAsia="宋体" w:cs="宋体"/>
          <w:sz w:val="24"/>
          <w:szCs w:val="24"/>
          <w:lang w:val="en-US" w:eastAsia="zh-CN"/>
        </w:rPr>
        <w:t>额</w:t>
      </w:r>
      <w:r>
        <w:rPr>
          <w:rFonts w:hint="eastAsia" w:ascii="宋体" w:hAnsi="宋体" w:eastAsia="宋体" w:cs="宋体"/>
          <w:sz w:val="24"/>
          <w:szCs w:val="24"/>
        </w:rPr>
        <w:t>+</w:t>
      </w:r>
      <w:r>
        <w:rPr>
          <w:rFonts w:hint="eastAsia" w:ascii="宋体" w:hAnsi="宋体" w:eastAsia="宋体" w:cs="宋体"/>
          <w:sz w:val="24"/>
          <w:szCs w:val="24"/>
          <w:lang w:val="en-US" w:eastAsia="zh-CN"/>
        </w:rPr>
        <w:t>暂估价</w:t>
      </w:r>
      <w:r>
        <w:rPr>
          <w:rFonts w:hint="eastAsia" w:ascii="宋体" w:hAnsi="宋体" w:eastAsia="宋体" w:cs="宋体"/>
          <w:sz w:val="24"/>
          <w:szCs w:val="24"/>
          <w:lang w:eastAsia="zh-CN"/>
        </w:rPr>
        <w:t>〕</w:t>
      </w:r>
      <w:r>
        <w:rPr>
          <w:rFonts w:hint="eastAsia" w:ascii="宋体" w:hAnsi="宋体" w:eastAsia="宋体" w:cs="宋体"/>
          <w:sz w:val="24"/>
          <w:szCs w:val="24"/>
        </w:rPr>
        <w:t>（取整数部分，小数点后第一位四舍五入）。</w:t>
      </w:r>
    </w:p>
    <w:p w14:paraId="2BED480D">
      <w:pPr>
        <w:pStyle w:val="34"/>
        <w:keepNext w:val="0"/>
        <w:keepLines w:val="0"/>
        <w:pageBreakBefore w:val="0"/>
        <w:kinsoku/>
        <w:overflowPunct/>
        <w:autoSpaceDE/>
        <w:bidi w:val="0"/>
        <w:adjustRightInd/>
        <w:spacing w:line="40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三、入围竞包人</w:t>
      </w:r>
    </w:p>
    <w:p w14:paraId="7C028B24">
      <w:pPr>
        <w:keepNext w:val="0"/>
        <w:keepLines w:val="0"/>
        <w:pageBreakBefore w:val="0"/>
        <w:kinsoku/>
        <w:overflowPunct/>
        <w:autoSpaceDE/>
        <w:autoSpaceDN/>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（1）各竞包人所报的下浮率应在3%至X%之间（含3%和X%），否则作否决处理。（下浮率小数点后取一位，小数点后第二位四舍五入）。 </w:t>
      </w:r>
    </w:p>
    <w:p w14:paraId="7D45BF58">
      <w:pPr>
        <w:keepNext w:val="0"/>
        <w:keepLines w:val="0"/>
        <w:pageBreakBefore w:val="0"/>
        <w:kinsoku/>
        <w:overflowPunct/>
        <w:autoSpaceDE/>
        <w:autoSpaceDN/>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（2）①当各竞包人所报的下浮率≥评审下浮率且与评审下浮率最接近值的竞包人通过资格审查后为承包候选人。②当竞包人所报的下浮率≥评审下浮率只有1人时，</w:t>
      </w:r>
      <w:r>
        <w:rPr>
          <w:rFonts w:hint="eastAsia" w:ascii="宋体" w:hAnsi="宋体" w:eastAsia="宋体" w:cs="宋体"/>
          <w:sz w:val="24"/>
          <w:szCs w:val="24"/>
          <w:lang w:val="en-US" w:eastAsia="zh-CN"/>
        </w:rPr>
        <w:t>并通过资格后审，则</w:t>
      </w:r>
      <w:r>
        <w:rPr>
          <w:rFonts w:hint="eastAsia" w:ascii="宋体" w:hAnsi="宋体" w:eastAsia="宋体" w:cs="宋体"/>
          <w:sz w:val="24"/>
          <w:szCs w:val="24"/>
        </w:rPr>
        <w:t>无条件确定为承包候选人</w:t>
      </w:r>
      <w:r>
        <w:rPr>
          <w:rFonts w:hint="eastAsia" w:ascii="宋体" w:hAnsi="宋体" w:eastAsia="宋体" w:cs="宋体"/>
          <w:sz w:val="24"/>
          <w:szCs w:val="24"/>
        </w:rPr>
        <w:t>。③当所有竞包人所报的下浮率均小于评审下浮率时，最接近评审下浮率值的竞包人为入围竞包人，</w:t>
      </w:r>
      <w:bookmarkStart w:id="487" w:name="_GoBack"/>
      <w:bookmarkEnd w:id="487"/>
      <w:r>
        <w:rPr>
          <w:rFonts w:hint="eastAsia" w:ascii="宋体" w:hAnsi="宋体" w:eastAsia="宋体" w:cs="宋体"/>
          <w:sz w:val="24"/>
          <w:szCs w:val="24"/>
        </w:rPr>
        <w:t>发包下浮率取评审下浮率。</w:t>
      </w:r>
    </w:p>
    <w:p w14:paraId="6B97DBD1">
      <w:pPr>
        <w:keepNext w:val="0"/>
        <w:keepLines w:val="0"/>
        <w:pageBreakBefore w:val="0"/>
        <w:kinsoku/>
        <w:overflowPunct/>
        <w:autoSpaceDE/>
        <w:autoSpaceDN/>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（3）确定入围竞包人时如出现相同下浮率的，由业主代表抽签确定承包候选人。</w:t>
      </w:r>
    </w:p>
    <w:p w14:paraId="7DB3AA9D">
      <w:pPr>
        <w:pStyle w:val="199"/>
        <w:keepNext w:val="0"/>
        <w:keepLines w:val="0"/>
        <w:pageBreakBefore w:val="0"/>
        <w:kinsoku/>
        <w:wordWrap w:val="0"/>
        <w:overflowPunct/>
        <w:topLinePunct/>
        <w:autoSpaceDE/>
        <w:autoSpaceDN w:val="0"/>
        <w:bidi w:val="0"/>
        <w:adjustRightInd/>
        <w:spacing w:line="400" w:lineRule="exact"/>
        <w:ind w:left="0" w:leftChars="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rPr>
        <w:t>四</w:t>
      </w:r>
      <w:r>
        <w:rPr>
          <w:rFonts w:hint="eastAsia" w:ascii="宋体" w:hAnsi="宋体" w:eastAsia="宋体" w:cs="宋体"/>
          <w:b/>
          <w:sz w:val="24"/>
          <w:szCs w:val="24"/>
        </w:rPr>
        <w:t>、资格审查</w:t>
      </w:r>
    </w:p>
    <w:p w14:paraId="18002815">
      <w:pPr>
        <w:keepNext w:val="0"/>
        <w:keepLines w:val="0"/>
        <w:pageBreakBefore w:val="0"/>
        <w:widowControl/>
        <w:kinsoku/>
        <w:wordWrap w:val="0"/>
        <w:overflowPunct/>
        <w:topLinePunct/>
        <w:autoSpaceDE/>
        <w:bidi w:val="0"/>
        <w:adjustRightInd/>
        <w:snapToGrid w:val="0"/>
        <w:spacing w:line="40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评审小组对入围的竞包人进行资格审查。入围竞包人存在竞包人须知前附表10.2情形之一的，评审委员会组织竞包人询问核实后，情况属实的，资格审查不予通过。竞包人不足三家的项目，竞包文件经审查无任何问题，照常按照以上3个条款开展交易活动。</w:t>
      </w:r>
    </w:p>
    <w:p w14:paraId="79BA0839">
      <w:pPr>
        <w:keepNext w:val="0"/>
        <w:keepLines w:val="0"/>
        <w:pageBreakBefore w:val="0"/>
        <w:kinsoku/>
        <w:wordWrap w:val="0"/>
        <w:overflowPunct/>
        <w:topLinePunct/>
        <w:autoSpaceDE/>
        <w:bidi w:val="0"/>
        <w:adjustRightInd/>
        <w:snapToGrid w:val="0"/>
        <w:spacing w:line="400" w:lineRule="exact"/>
        <w:ind w:left="0" w:leftChars="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五、推荐承包候选人</w:t>
      </w:r>
    </w:p>
    <w:p w14:paraId="76C86A45">
      <w:pPr>
        <w:keepNext w:val="0"/>
        <w:keepLines w:val="0"/>
        <w:pageBreakBefore w:val="0"/>
        <w:numPr>
          <w:ilvl w:val="0"/>
          <w:numId w:val="0"/>
        </w:numPr>
        <w:kinsoku/>
        <w:overflowPunct/>
        <w:autoSpaceDE/>
        <w:bidi w:val="0"/>
        <w:adjustRightInd/>
        <w:spacing w:line="400" w:lineRule="exact"/>
        <w:ind w:left="0" w:leftChars="0" w:firstLine="480" w:firstLineChars="200"/>
        <w:textAlignment w:val="auto"/>
        <w:rPr>
          <w:rFonts w:hint="eastAsia" w:eastAsia="黑体"/>
          <w:b/>
          <w:sz w:val="32"/>
          <w:szCs w:val="32"/>
          <w:vertAlign w:val="baseline"/>
          <w:lang w:val="en-US" w:eastAsia="zh-CN"/>
        </w:rPr>
      </w:pPr>
      <w:r>
        <w:rPr>
          <w:rFonts w:hint="eastAsia" w:ascii="宋体" w:hAnsi="宋体" w:eastAsia="宋体" w:cs="宋体"/>
          <w:sz w:val="24"/>
          <w:szCs w:val="24"/>
        </w:rPr>
        <w:t>评审小组根据评审情况，推荐承包候选人，出具评审报告并签字确认。</w:t>
      </w:r>
    </w:p>
    <w:p w14:paraId="08BA0EE1">
      <w:pPr>
        <w:numPr>
          <w:ilvl w:val="0"/>
          <w:numId w:val="0"/>
        </w:numPr>
        <w:rPr>
          <w:rFonts w:hint="eastAsia" w:eastAsia="黑体"/>
          <w:b/>
          <w:sz w:val="32"/>
          <w:szCs w:val="32"/>
          <w:vertAlign w:val="baseline"/>
          <w:lang w:val="en-US" w:eastAsia="zh-CN"/>
        </w:rPr>
      </w:pPr>
    </w:p>
    <w:p w14:paraId="4F59543A">
      <w:pPr>
        <w:widowControl/>
        <w:spacing w:line="360" w:lineRule="auto"/>
        <w:jc w:val="left"/>
        <w:rPr>
          <w:szCs w:val="21"/>
        </w:rPr>
        <w:sectPr>
          <w:headerReference r:id="rId12" w:type="default"/>
          <w:footnotePr>
            <w:numFmt w:val="decimalEnclosedCircleChinese"/>
            <w:numRestart w:val="eachPage"/>
          </w:footnotePr>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6B33E971">
      <w:pPr>
        <w:widowControl/>
        <w:spacing w:line="360" w:lineRule="auto"/>
        <w:jc w:val="left"/>
        <w:rPr>
          <w:szCs w:val="21"/>
        </w:rPr>
      </w:pPr>
    </w:p>
    <w:p w14:paraId="7E40D171">
      <w:pPr>
        <w:widowControl/>
        <w:spacing w:line="360" w:lineRule="auto"/>
        <w:jc w:val="left"/>
        <w:rPr>
          <w:szCs w:val="21"/>
        </w:rPr>
      </w:pPr>
    </w:p>
    <w:p w14:paraId="24F97F94">
      <w:pPr>
        <w:widowControl/>
        <w:spacing w:line="360" w:lineRule="auto"/>
        <w:jc w:val="left"/>
        <w:rPr>
          <w:szCs w:val="21"/>
        </w:rPr>
      </w:pPr>
    </w:p>
    <w:p w14:paraId="7CC7DF31">
      <w:pPr>
        <w:widowControl/>
        <w:spacing w:line="360" w:lineRule="auto"/>
        <w:jc w:val="left"/>
        <w:rPr>
          <w:szCs w:val="21"/>
        </w:rPr>
      </w:pPr>
    </w:p>
    <w:p w14:paraId="534C124C">
      <w:pPr>
        <w:widowControl/>
        <w:spacing w:line="360" w:lineRule="auto"/>
        <w:jc w:val="left"/>
        <w:rPr>
          <w:szCs w:val="21"/>
        </w:rPr>
      </w:pPr>
    </w:p>
    <w:p w14:paraId="33EEE122">
      <w:pPr>
        <w:widowControl/>
        <w:spacing w:line="360" w:lineRule="auto"/>
        <w:jc w:val="left"/>
        <w:rPr>
          <w:szCs w:val="21"/>
        </w:rPr>
      </w:pPr>
    </w:p>
    <w:p w14:paraId="2AC99E0B">
      <w:pPr>
        <w:widowControl/>
        <w:spacing w:line="360" w:lineRule="auto"/>
        <w:jc w:val="left"/>
        <w:rPr>
          <w:szCs w:val="21"/>
        </w:rPr>
      </w:pPr>
    </w:p>
    <w:p w14:paraId="37458DB8">
      <w:pPr>
        <w:widowControl/>
        <w:spacing w:line="360" w:lineRule="auto"/>
        <w:jc w:val="left"/>
        <w:rPr>
          <w:szCs w:val="21"/>
        </w:rPr>
      </w:pPr>
    </w:p>
    <w:p w14:paraId="6C9ACBA5">
      <w:pPr>
        <w:widowControl/>
        <w:spacing w:line="360" w:lineRule="auto"/>
        <w:jc w:val="left"/>
        <w:rPr>
          <w:szCs w:val="21"/>
        </w:rPr>
      </w:pPr>
    </w:p>
    <w:p w14:paraId="6FA282C6">
      <w:pPr>
        <w:spacing w:line="360" w:lineRule="auto"/>
        <w:ind w:firstLine="420" w:firstLineChars="200"/>
        <w:rPr>
          <w:szCs w:val="21"/>
        </w:rPr>
      </w:pPr>
    </w:p>
    <w:p w14:paraId="269F1FB2">
      <w:pPr>
        <w:pStyle w:val="4"/>
        <w:jc w:val="center"/>
        <w:rPr>
          <w:rFonts w:eastAsia="黑体"/>
          <w:sz w:val="48"/>
          <w:szCs w:val="48"/>
        </w:rPr>
      </w:pPr>
      <w:bookmarkStart w:id="196" w:name="_Toc32282"/>
      <w:bookmarkStart w:id="197" w:name="_Toc14883"/>
      <w:bookmarkStart w:id="198" w:name="_Toc154675075"/>
      <w:bookmarkStart w:id="199" w:name="_Toc31217"/>
      <w:r>
        <w:rPr>
          <w:rFonts w:hint="eastAsia" w:eastAsia="黑体"/>
          <w:sz w:val="48"/>
          <w:szCs w:val="48"/>
        </w:rPr>
        <w:t>第四章</w:t>
      </w:r>
      <w:r>
        <w:rPr>
          <w:rFonts w:eastAsia="黑体"/>
          <w:sz w:val="48"/>
          <w:szCs w:val="48"/>
        </w:rPr>
        <w:t xml:space="preserve"> </w:t>
      </w:r>
      <w:r>
        <w:rPr>
          <w:rFonts w:hint="eastAsia" w:eastAsia="黑体"/>
          <w:sz w:val="48"/>
          <w:szCs w:val="48"/>
        </w:rPr>
        <w:t>合同条款及格式</w:t>
      </w:r>
      <w:bookmarkEnd w:id="196"/>
      <w:bookmarkEnd w:id="197"/>
      <w:bookmarkEnd w:id="198"/>
      <w:bookmarkEnd w:id="199"/>
      <w:r>
        <w:rPr>
          <w:rStyle w:val="54"/>
          <w:rFonts w:hint="eastAsia" w:eastAsia="黑体"/>
          <w:sz w:val="48"/>
          <w:szCs w:val="48"/>
        </w:rPr>
        <w:footnoteReference w:id="4"/>
      </w:r>
    </w:p>
    <w:p w14:paraId="281042AE">
      <w:pPr>
        <w:spacing w:line="360" w:lineRule="auto"/>
        <w:ind w:firstLine="420" w:firstLineChars="200"/>
        <w:rPr>
          <w:szCs w:val="21"/>
        </w:rPr>
      </w:pPr>
    </w:p>
    <w:p w14:paraId="65A3B6B4">
      <w:pPr>
        <w:spacing w:line="360" w:lineRule="auto"/>
        <w:ind w:firstLine="420" w:firstLineChars="200"/>
        <w:rPr>
          <w:szCs w:val="21"/>
        </w:rPr>
        <w:sectPr>
          <w:headerReference r:id="rId13" w:type="default"/>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4CE7B956">
      <w:pPr>
        <w:spacing w:line="360" w:lineRule="auto"/>
      </w:pPr>
    </w:p>
    <w:p w14:paraId="4F917F4D">
      <w:pPr>
        <w:spacing w:line="360" w:lineRule="auto"/>
      </w:pPr>
    </w:p>
    <w:p w14:paraId="093E3867">
      <w:pPr>
        <w:pStyle w:val="5"/>
        <w:spacing w:line="360" w:lineRule="auto"/>
        <w:jc w:val="center"/>
        <w:rPr>
          <w:rFonts w:ascii="Times New Roman" w:hAnsi="Times New Roman"/>
          <w:sz w:val="28"/>
        </w:rPr>
      </w:pPr>
      <w:bookmarkStart w:id="200" w:name="_Toc144974578"/>
      <w:bookmarkStart w:id="201" w:name="_Toc179632628"/>
      <w:bookmarkStart w:id="202" w:name="_Toc152045610"/>
      <w:bookmarkStart w:id="203" w:name="_Toc154675076"/>
      <w:bookmarkStart w:id="204" w:name="_Toc13150"/>
      <w:bookmarkStart w:id="205" w:name="_Toc152042388"/>
      <w:bookmarkStart w:id="206" w:name="_Toc7164"/>
      <w:r>
        <w:rPr>
          <w:rFonts w:hint="eastAsia" w:ascii="Times New Roman" w:hAnsi="Times New Roman"/>
          <w:sz w:val="28"/>
        </w:rPr>
        <w:t>第一节</w:t>
      </w:r>
      <w:r>
        <w:rPr>
          <w:rFonts w:ascii="Times New Roman" w:hAnsi="Times New Roman"/>
          <w:sz w:val="28"/>
        </w:rPr>
        <w:t xml:space="preserve"> </w:t>
      </w:r>
      <w:r>
        <w:rPr>
          <w:rFonts w:hint="eastAsia" w:ascii="Times New Roman" w:hAnsi="Times New Roman"/>
          <w:sz w:val="28"/>
        </w:rPr>
        <w:t>通用合同条款</w:t>
      </w:r>
      <w:bookmarkEnd w:id="200"/>
      <w:bookmarkEnd w:id="201"/>
      <w:bookmarkEnd w:id="202"/>
      <w:bookmarkEnd w:id="203"/>
      <w:bookmarkEnd w:id="204"/>
      <w:bookmarkEnd w:id="205"/>
      <w:bookmarkEnd w:id="206"/>
    </w:p>
    <w:p w14:paraId="19A8801D">
      <w:pPr>
        <w:spacing w:line="360" w:lineRule="auto"/>
      </w:pPr>
    </w:p>
    <w:p w14:paraId="0583B7C5">
      <w:pPr>
        <w:spacing w:line="360" w:lineRule="auto"/>
      </w:pPr>
      <w:r>
        <w:t xml:space="preserve">    “</w:t>
      </w:r>
      <w:r>
        <w:rPr>
          <w:rFonts w:hint="eastAsia"/>
        </w:rPr>
        <w:t>通用合同条款</w:t>
      </w:r>
      <w:r>
        <w:t>”</w:t>
      </w:r>
      <w:r>
        <w:rPr>
          <w:rFonts w:hint="eastAsia"/>
        </w:rPr>
        <w:t>采用《标准施工招标文件》第四章第一节</w:t>
      </w:r>
      <w:r>
        <w:t>“</w:t>
      </w:r>
      <w:r>
        <w:rPr>
          <w:rFonts w:hint="eastAsia"/>
        </w:rPr>
        <w:t>通用合同条款</w:t>
      </w:r>
      <w:r>
        <w:t>”</w:t>
      </w:r>
      <w:r>
        <w:rPr>
          <w:rFonts w:hint="eastAsia"/>
        </w:rPr>
        <w:t>。</w:t>
      </w:r>
    </w:p>
    <w:p w14:paraId="2210A949">
      <w:pPr>
        <w:spacing w:line="360" w:lineRule="auto"/>
      </w:pPr>
    </w:p>
    <w:p w14:paraId="499C665E">
      <w:pPr>
        <w:spacing w:line="360" w:lineRule="auto"/>
      </w:pPr>
      <w:r>
        <w:br w:type="page"/>
      </w:r>
    </w:p>
    <w:p w14:paraId="49E64A7C">
      <w:pPr>
        <w:spacing w:line="360" w:lineRule="auto"/>
      </w:pPr>
    </w:p>
    <w:p w14:paraId="0A6CC278">
      <w:pPr>
        <w:spacing w:line="360" w:lineRule="auto"/>
      </w:pPr>
    </w:p>
    <w:p w14:paraId="10C310B9">
      <w:pPr>
        <w:pStyle w:val="5"/>
        <w:spacing w:line="360" w:lineRule="auto"/>
        <w:jc w:val="center"/>
        <w:rPr>
          <w:rFonts w:ascii="Times New Roman" w:hAnsi="Times New Roman"/>
          <w:sz w:val="28"/>
        </w:rPr>
      </w:pPr>
      <w:bookmarkStart w:id="207" w:name="_Toc18570"/>
      <w:bookmarkStart w:id="208" w:name="_Toc179632784"/>
      <w:bookmarkStart w:id="209" w:name="_Toc154675077"/>
      <w:bookmarkStart w:id="210" w:name="_Toc29840"/>
      <w:bookmarkStart w:id="211" w:name="_Toc144974736"/>
      <w:bookmarkStart w:id="212" w:name="_Toc152042545"/>
      <w:bookmarkStart w:id="213" w:name="_Toc152045766"/>
      <w:r>
        <w:rPr>
          <w:rFonts w:hint="eastAsia" w:ascii="Times New Roman" w:hAnsi="Times New Roman"/>
          <w:sz w:val="28"/>
        </w:rPr>
        <w:t>第二节</w:t>
      </w:r>
      <w:r>
        <w:rPr>
          <w:rFonts w:ascii="Times New Roman" w:hAnsi="Times New Roman"/>
          <w:sz w:val="28"/>
        </w:rPr>
        <w:t xml:space="preserve">  </w:t>
      </w:r>
      <w:r>
        <w:rPr>
          <w:rFonts w:hint="eastAsia" w:ascii="Times New Roman" w:hAnsi="Times New Roman"/>
          <w:sz w:val="28"/>
        </w:rPr>
        <w:t>专用合同条款</w:t>
      </w:r>
      <w:bookmarkEnd w:id="207"/>
      <w:bookmarkEnd w:id="208"/>
      <w:bookmarkEnd w:id="209"/>
      <w:bookmarkEnd w:id="210"/>
      <w:bookmarkEnd w:id="211"/>
      <w:bookmarkEnd w:id="212"/>
      <w:bookmarkEnd w:id="213"/>
    </w:p>
    <w:p w14:paraId="3B4F6CD4">
      <w:pPr>
        <w:pStyle w:val="6"/>
        <w:spacing w:line="360" w:lineRule="auto"/>
        <w:jc w:val="center"/>
        <w:rPr>
          <w:rFonts w:ascii="Times New Roman" w:hAnsi="Times New Roman"/>
          <w:sz w:val="28"/>
        </w:rPr>
      </w:pPr>
      <w:bookmarkStart w:id="214" w:name="_Toc154675078"/>
      <w:bookmarkStart w:id="215" w:name="_Toc2431"/>
      <w:bookmarkStart w:id="216" w:name="_Toc5550"/>
      <w:r>
        <w:rPr>
          <w:rFonts w:ascii="Times New Roman" w:hAnsi="Times New Roman"/>
          <w:sz w:val="28"/>
        </w:rPr>
        <w:t>A</w:t>
      </w:r>
      <w:r>
        <w:rPr>
          <w:rFonts w:hint="eastAsia" w:ascii="Times New Roman" w:hAnsi="Times New Roman"/>
          <w:sz w:val="28"/>
        </w:rPr>
        <w:t>．公路工程专用合同条款</w:t>
      </w:r>
      <w:bookmarkEnd w:id="214"/>
      <w:bookmarkEnd w:id="215"/>
      <w:bookmarkEnd w:id="216"/>
    </w:p>
    <w:p w14:paraId="50006B79">
      <w:pPr>
        <w:spacing w:line="360" w:lineRule="auto"/>
      </w:pPr>
      <w:r>
        <w:t xml:space="preserve">    “A. </w:t>
      </w:r>
      <w:r>
        <w:rPr>
          <w:rFonts w:hint="eastAsia"/>
        </w:rPr>
        <w:t>公路工程专用合同条款</w:t>
      </w:r>
      <w:r>
        <w:t>”</w:t>
      </w:r>
      <w:r>
        <w:rPr>
          <w:rFonts w:hint="eastAsia"/>
        </w:rPr>
        <w:t>采用《公路工程标准施工招标文件》（</w:t>
      </w:r>
      <w:r>
        <w:t>2018</w:t>
      </w:r>
      <w:r>
        <w:rPr>
          <w:rFonts w:hint="eastAsia"/>
        </w:rPr>
        <w:t>年版）第四章第二节</w:t>
      </w:r>
      <w:r>
        <w:t xml:space="preserve">“A. </w:t>
      </w:r>
      <w:r>
        <w:rPr>
          <w:rFonts w:hint="eastAsia"/>
        </w:rPr>
        <w:t>公路工程专用合同条款</w:t>
      </w:r>
      <w:r>
        <w:t>”</w:t>
      </w:r>
      <w:r>
        <w:rPr>
          <w:rFonts w:hint="eastAsia"/>
        </w:rPr>
        <w:t>。</w:t>
      </w:r>
    </w:p>
    <w:p w14:paraId="0E96E9D0">
      <w:pPr>
        <w:widowControl/>
        <w:spacing w:line="360" w:lineRule="auto"/>
        <w:jc w:val="left"/>
        <w:rPr>
          <w:rFonts w:eastAsia="黑体"/>
          <w:b/>
          <w:bCs/>
          <w:sz w:val="28"/>
          <w:szCs w:val="32"/>
        </w:rPr>
      </w:pPr>
      <w:r>
        <w:rPr>
          <w:rFonts w:eastAsia="黑体"/>
          <w:b/>
          <w:bCs/>
          <w:sz w:val="28"/>
          <w:szCs w:val="32"/>
        </w:rPr>
        <w:br w:type="page"/>
      </w:r>
    </w:p>
    <w:p w14:paraId="48147FDD">
      <w:pPr>
        <w:widowControl/>
        <w:spacing w:line="360" w:lineRule="auto"/>
        <w:jc w:val="left"/>
        <w:rPr>
          <w:rFonts w:eastAsia="黑体"/>
          <w:b/>
          <w:bCs/>
          <w:sz w:val="28"/>
          <w:szCs w:val="32"/>
        </w:rPr>
      </w:pPr>
    </w:p>
    <w:p w14:paraId="0EADAE50">
      <w:pPr>
        <w:pStyle w:val="6"/>
        <w:spacing w:line="360" w:lineRule="auto"/>
        <w:jc w:val="center"/>
        <w:rPr>
          <w:rFonts w:ascii="Times New Roman" w:hAnsi="Times New Roman"/>
          <w:sz w:val="28"/>
        </w:rPr>
      </w:pPr>
      <w:bookmarkStart w:id="217" w:name="_Toc13999"/>
      <w:bookmarkStart w:id="218" w:name="_Toc154675079"/>
      <w:bookmarkStart w:id="219" w:name="_Toc11554"/>
      <w:r>
        <w:rPr>
          <w:rFonts w:ascii="Times New Roman" w:hAnsi="Times New Roman"/>
          <w:sz w:val="28"/>
        </w:rPr>
        <w:t>B</w:t>
      </w:r>
      <w:r>
        <w:rPr>
          <w:rFonts w:hint="eastAsia" w:ascii="Times New Roman" w:hAnsi="Times New Roman"/>
          <w:sz w:val="28"/>
        </w:rPr>
        <w:t>．项目专用合同条款</w:t>
      </w:r>
      <w:bookmarkEnd w:id="217"/>
      <w:bookmarkEnd w:id="218"/>
      <w:bookmarkEnd w:id="219"/>
    </w:p>
    <w:p w14:paraId="22A3D92A">
      <w:pPr>
        <w:tabs>
          <w:tab w:val="left" w:pos="2790"/>
        </w:tabs>
        <w:spacing w:line="360" w:lineRule="auto"/>
        <w:ind w:firstLine="420" w:firstLineChars="200"/>
        <w:rPr>
          <w:rFonts w:eastAsia="黑体"/>
          <w:szCs w:val="21"/>
        </w:rPr>
      </w:pPr>
      <w:r>
        <w:rPr>
          <w:rFonts w:hint="eastAsia" w:eastAsia="黑体"/>
          <w:szCs w:val="21"/>
        </w:rPr>
        <w:t>说明：</w:t>
      </w:r>
      <w:r>
        <w:rPr>
          <w:rStyle w:val="80"/>
          <w:rFonts w:eastAsia="黑体"/>
          <w:szCs w:val="21"/>
          <w:vertAlign w:val="superscript"/>
        </w:rPr>
        <w:footnoteReference w:id="5"/>
      </w:r>
    </w:p>
    <w:p w14:paraId="024CFBB4">
      <w:pPr>
        <w:tabs>
          <w:tab w:val="left" w:pos="2790"/>
        </w:tabs>
        <w:spacing w:line="360" w:lineRule="auto"/>
        <w:ind w:firstLine="420" w:firstLineChars="200"/>
        <w:rPr>
          <w:szCs w:val="21"/>
        </w:rPr>
      </w:pPr>
      <w:r>
        <w:rPr>
          <w:szCs w:val="21"/>
        </w:rPr>
        <w:t>1.</w:t>
      </w:r>
      <w:r>
        <w:rPr>
          <w:rFonts w:hint="eastAsia"/>
          <w:szCs w:val="21"/>
          <w:lang w:eastAsia="zh-CN"/>
        </w:rPr>
        <w:t>发包人</w:t>
      </w:r>
      <w:r>
        <w:rPr>
          <w:rFonts w:hint="eastAsia"/>
          <w:szCs w:val="21"/>
        </w:rPr>
        <w:t>在根据《标准施工招标文件》、《公路工程标准施工招标文件》编制项目施工</w:t>
      </w:r>
      <w:r>
        <w:rPr>
          <w:rFonts w:hint="eastAsia"/>
          <w:szCs w:val="21"/>
          <w:lang w:eastAsia="zh-CN"/>
        </w:rPr>
        <w:t>发包文件</w:t>
      </w:r>
      <w:r>
        <w:rPr>
          <w:rFonts w:hint="eastAsia"/>
          <w:szCs w:val="21"/>
        </w:rPr>
        <w:t>中的</w:t>
      </w:r>
      <w:r>
        <w:rPr>
          <w:szCs w:val="21"/>
        </w:rPr>
        <w:t>“</w:t>
      </w:r>
      <w:r>
        <w:rPr>
          <w:rFonts w:hint="eastAsia"/>
          <w:szCs w:val="21"/>
        </w:rPr>
        <w:t>项目专用合同条款</w:t>
      </w:r>
      <w:r>
        <w:rPr>
          <w:szCs w:val="21"/>
        </w:rPr>
        <w:t>”</w:t>
      </w:r>
      <w:r>
        <w:rPr>
          <w:rFonts w:hint="eastAsia"/>
          <w:szCs w:val="21"/>
        </w:rPr>
        <w:t>时，可根据</w:t>
      </w:r>
      <w:r>
        <w:rPr>
          <w:rFonts w:hint="eastAsia"/>
          <w:szCs w:val="21"/>
          <w:lang w:eastAsia="zh-CN"/>
        </w:rPr>
        <w:t>发包</w:t>
      </w:r>
      <w:r>
        <w:rPr>
          <w:rFonts w:hint="eastAsia"/>
          <w:szCs w:val="21"/>
        </w:rPr>
        <w:t>项目的具体特点和实际需要，对</w:t>
      </w:r>
      <w:r>
        <w:rPr>
          <w:szCs w:val="21"/>
        </w:rPr>
        <w:t>“</w:t>
      </w:r>
      <w:r>
        <w:rPr>
          <w:rFonts w:hint="eastAsia"/>
          <w:szCs w:val="21"/>
        </w:rPr>
        <w:t>通用合同条款</w:t>
      </w:r>
      <w:r>
        <w:rPr>
          <w:szCs w:val="21"/>
        </w:rPr>
        <w:t>”</w:t>
      </w:r>
      <w:r>
        <w:rPr>
          <w:rFonts w:hint="eastAsia"/>
          <w:szCs w:val="21"/>
        </w:rPr>
        <w:t>及</w:t>
      </w:r>
      <w:r>
        <w:rPr>
          <w:szCs w:val="21"/>
        </w:rPr>
        <w:t>“</w:t>
      </w:r>
      <w:r>
        <w:rPr>
          <w:rFonts w:hint="eastAsia"/>
          <w:szCs w:val="21"/>
        </w:rPr>
        <w:t>公路工程专用合同条款</w:t>
      </w:r>
      <w:r>
        <w:rPr>
          <w:szCs w:val="21"/>
        </w:rPr>
        <w:t>”</w:t>
      </w:r>
      <w:r>
        <w:rPr>
          <w:rFonts w:hint="eastAsia"/>
          <w:szCs w:val="21"/>
        </w:rPr>
        <w:t>进行补充和细化，除</w:t>
      </w:r>
      <w:r>
        <w:rPr>
          <w:szCs w:val="21"/>
        </w:rPr>
        <w:t>“</w:t>
      </w:r>
      <w:r>
        <w:rPr>
          <w:rFonts w:hint="eastAsia"/>
          <w:szCs w:val="21"/>
        </w:rPr>
        <w:t>通用合同条款</w:t>
      </w:r>
      <w:r>
        <w:rPr>
          <w:szCs w:val="21"/>
        </w:rPr>
        <w:t>”</w:t>
      </w:r>
      <w:r>
        <w:rPr>
          <w:rFonts w:hint="eastAsia"/>
          <w:szCs w:val="21"/>
        </w:rPr>
        <w:t>明确</w:t>
      </w:r>
      <w:r>
        <w:rPr>
          <w:szCs w:val="21"/>
        </w:rPr>
        <w:t>“</w:t>
      </w:r>
      <w:r>
        <w:rPr>
          <w:rFonts w:hint="eastAsia"/>
          <w:szCs w:val="21"/>
        </w:rPr>
        <w:t>专用合同条款</w:t>
      </w:r>
      <w:r>
        <w:rPr>
          <w:szCs w:val="21"/>
        </w:rPr>
        <w:t>”</w:t>
      </w:r>
      <w:r>
        <w:rPr>
          <w:rFonts w:hint="eastAsia"/>
          <w:szCs w:val="21"/>
        </w:rPr>
        <w:t>可作出不同约定以及</w:t>
      </w:r>
      <w:r>
        <w:rPr>
          <w:szCs w:val="21"/>
        </w:rPr>
        <w:t>“</w:t>
      </w:r>
      <w:r>
        <w:rPr>
          <w:rFonts w:hint="eastAsia"/>
          <w:szCs w:val="21"/>
        </w:rPr>
        <w:t>公路工程专用合同条款</w:t>
      </w:r>
      <w:r>
        <w:rPr>
          <w:szCs w:val="21"/>
        </w:rPr>
        <w:t>”</w:t>
      </w:r>
      <w:r>
        <w:rPr>
          <w:rFonts w:hint="eastAsia"/>
          <w:szCs w:val="21"/>
        </w:rPr>
        <w:t>明确</w:t>
      </w:r>
      <w:r>
        <w:rPr>
          <w:szCs w:val="21"/>
        </w:rPr>
        <w:t>“</w:t>
      </w:r>
      <w:r>
        <w:rPr>
          <w:rFonts w:hint="eastAsia"/>
          <w:szCs w:val="21"/>
        </w:rPr>
        <w:t>项目专用合同条款</w:t>
      </w:r>
      <w:r>
        <w:rPr>
          <w:szCs w:val="21"/>
        </w:rPr>
        <w:t>”</w:t>
      </w:r>
      <w:r>
        <w:rPr>
          <w:rFonts w:hint="eastAsia"/>
          <w:szCs w:val="21"/>
        </w:rPr>
        <w:t>可作出不同约定外，补充和细化的内容不得与</w:t>
      </w:r>
      <w:r>
        <w:rPr>
          <w:szCs w:val="21"/>
        </w:rPr>
        <w:t>“</w:t>
      </w:r>
      <w:r>
        <w:rPr>
          <w:rFonts w:hint="eastAsia"/>
          <w:szCs w:val="21"/>
        </w:rPr>
        <w:t>通用合同条款</w:t>
      </w:r>
      <w:r>
        <w:rPr>
          <w:szCs w:val="21"/>
        </w:rPr>
        <w:t>”</w:t>
      </w:r>
      <w:r>
        <w:rPr>
          <w:rFonts w:hint="eastAsia"/>
          <w:szCs w:val="21"/>
        </w:rPr>
        <w:t>及</w:t>
      </w:r>
      <w:r>
        <w:rPr>
          <w:szCs w:val="21"/>
        </w:rPr>
        <w:t>“</w:t>
      </w:r>
      <w:r>
        <w:rPr>
          <w:rFonts w:hint="eastAsia"/>
          <w:szCs w:val="21"/>
        </w:rPr>
        <w:t>公路工程专用合同条款</w:t>
      </w:r>
      <w:r>
        <w:rPr>
          <w:szCs w:val="21"/>
        </w:rPr>
        <w:t>”</w:t>
      </w:r>
      <w:r>
        <w:rPr>
          <w:rFonts w:hint="eastAsia"/>
          <w:szCs w:val="21"/>
        </w:rPr>
        <w:t>强制性规定相抵触。同时，补充、细化或约定的不同内容，不得违反法律、行政法规的强制性规定和平等、自愿、公平和诚实信用原则。</w:t>
      </w:r>
    </w:p>
    <w:p w14:paraId="6DF1FE75">
      <w:pPr>
        <w:tabs>
          <w:tab w:val="left" w:pos="2790"/>
        </w:tabs>
        <w:spacing w:line="360" w:lineRule="auto"/>
        <w:ind w:firstLine="420" w:firstLineChars="200"/>
        <w:rPr>
          <w:szCs w:val="21"/>
        </w:rPr>
      </w:pPr>
      <w:r>
        <w:rPr>
          <w:szCs w:val="21"/>
        </w:rPr>
        <w:t>2.</w:t>
      </w:r>
      <w:r>
        <w:rPr>
          <w:rFonts w:hint="eastAsia"/>
          <w:szCs w:val="21"/>
        </w:rPr>
        <w:t>项目专用合同条款的序号应与通用合同条款和公路工程专用合同条款一致。</w:t>
      </w:r>
    </w:p>
    <w:p w14:paraId="3173FAF6">
      <w:pPr>
        <w:tabs>
          <w:tab w:val="left" w:pos="2790"/>
        </w:tabs>
        <w:spacing w:line="360" w:lineRule="auto"/>
        <w:ind w:firstLine="420" w:firstLineChars="200"/>
        <w:rPr>
          <w:szCs w:val="21"/>
        </w:rPr>
      </w:pPr>
      <w:r>
        <w:rPr>
          <w:szCs w:val="21"/>
        </w:rPr>
        <w:t>3.</w:t>
      </w:r>
      <w:r>
        <w:rPr>
          <w:rFonts w:hint="eastAsia"/>
          <w:szCs w:val="21"/>
        </w:rPr>
        <w:t>项目专用合同条款可对下列内容进行补充和细化：</w:t>
      </w:r>
    </w:p>
    <w:p w14:paraId="4FB03E38">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w:t>
      </w:r>
      <w:r>
        <w:rPr>
          <w:szCs w:val="21"/>
        </w:rPr>
        <w:t>“</w:t>
      </w:r>
      <w:r>
        <w:rPr>
          <w:rFonts w:hint="eastAsia"/>
          <w:szCs w:val="21"/>
        </w:rPr>
        <w:t>通用合同条款</w:t>
      </w:r>
      <w:r>
        <w:rPr>
          <w:szCs w:val="21"/>
        </w:rPr>
        <w:t>”</w:t>
      </w:r>
      <w:r>
        <w:rPr>
          <w:rFonts w:hint="eastAsia"/>
          <w:szCs w:val="21"/>
        </w:rPr>
        <w:t>中明确指出</w:t>
      </w:r>
      <w:r>
        <w:rPr>
          <w:szCs w:val="21"/>
        </w:rPr>
        <w:t>“</w:t>
      </w:r>
      <w:r>
        <w:rPr>
          <w:rFonts w:hint="eastAsia"/>
          <w:szCs w:val="21"/>
        </w:rPr>
        <w:t>专用合同条款</w:t>
      </w:r>
      <w:r>
        <w:rPr>
          <w:szCs w:val="21"/>
        </w:rPr>
        <w:t>”</w:t>
      </w:r>
      <w:r>
        <w:rPr>
          <w:rFonts w:hint="eastAsia"/>
          <w:szCs w:val="21"/>
        </w:rPr>
        <w:t>可对</w:t>
      </w:r>
      <w:r>
        <w:rPr>
          <w:szCs w:val="21"/>
        </w:rPr>
        <w:t>“</w:t>
      </w:r>
      <w:r>
        <w:rPr>
          <w:rFonts w:hint="eastAsia"/>
          <w:szCs w:val="21"/>
        </w:rPr>
        <w:t>通用合同条款</w:t>
      </w:r>
      <w:r>
        <w:rPr>
          <w:szCs w:val="21"/>
        </w:rPr>
        <w:t>”</w:t>
      </w:r>
      <w:r>
        <w:rPr>
          <w:rFonts w:hint="eastAsia"/>
          <w:szCs w:val="21"/>
        </w:rPr>
        <w:t>进行补充和细化的内容（在</w:t>
      </w:r>
      <w:r>
        <w:rPr>
          <w:szCs w:val="21"/>
        </w:rPr>
        <w:t>“</w:t>
      </w:r>
      <w:r>
        <w:rPr>
          <w:rFonts w:hint="eastAsia"/>
          <w:szCs w:val="21"/>
        </w:rPr>
        <w:t>通用合同条款</w:t>
      </w:r>
      <w:r>
        <w:rPr>
          <w:szCs w:val="21"/>
        </w:rPr>
        <w:t>”</w:t>
      </w:r>
      <w:r>
        <w:rPr>
          <w:rFonts w:hint="eastAsia"/>
          <w:szCs w:val="21"/>
        </w:rPr>
        <w:t>中用</w:t>
      </w:r>
      <w:r>
        <w:rPr>
          <w:szCs w:val="21"/>
        </w:rPr>
        <w:t>“</w:t>
      </w:r>
      <w:r>
        <w:rPr>
          <w:rFonts w:hint="eastAsia"/>
          <w:szCs w:val="21"/>
        </w:rPr>
        <w:t>应按合同约定</w:t>
      </w:r>
      <w:r>
        <w:rPr>
          <w:szCs w:val="21"/>
        </w:rPr>
        <w:t>”</w:t>
      </w:r>
      <w:r>
        <w:rPr>
          <w:rFonts w:hint="eastAsia"/>
          <w:szCs w:val="21"/>
        </w:rPr>
        <w:t>、</w:t>
      </w:r>
      <w:r>
        <w:rPr>
          <w:szCs w:val="21"/>
        </w:rPr>
        <w:t>“</w:t>
      </w:r>
      <w:r>
        <w:rPr>
          <w:rFonts w:hint="eastAsia"/>
          <w:szCs w:val="21"/>
        </w:rPr>
        <w:t>应按专用合同条款约定</w:t>
      </w:r>
      <w:r>
        <w:rPr>
          <w:szCs w:val="21"/>
        </w:rPr>
        <w:t>”“</w:t>
      </w:r>
      <w:r>
        <w:rPr>
          <w:rFonts w:hint="eastAsia"/>
          <w:szCs w:val="21"/>
        </w:rPr>
        <w:t>除合同另有约定外</w:t>
      </w:r>
      <w:r>
        <w:rPr>
          <w:szCs w:val="21"/>
        </w:rPr>
        <w:t>”</w:t>
      </w:r>
      <w:r>
        <w:rPr>
          <w:rFonts w:hint="eastAsia"/>
          <w:szCs w:val="21"/>
        </w:rPr>
        <w:t>、</w:t>
      </w:r>
      <w:r>
        <w:rPr>
          <w:szCs w:val="21"/>
        </w:rPr>
        <w:t>“</w:t>
      </w:r>
      <w:r>
        <w:rPr>
          <w:rFonts w:hint="eastAsia"/>
          <w:szCs w:val="21"/>
        </w:rPr>
        <w:t>除专用合同条款另有约定外</w:t>
      </w:r>
      <w:r>
        <w:rPr>
          <w:szCs w:val="21"/>
        </w:rPr>
        <w:t>”</w:t>
      </w:r>
      <w:r>
        <w:rPr>
          <w:rFonts w:hint="eastAsia"/>
          <w:szCs w:val="21"/>
        </w:rPr>
        <w:t>、</w:t>
      </w:r>
      <w:r>
        <w:rPr>
          <w:szCs w:val="21"/>
        </w:rPr>
        <w:t>“</w:t>
      </w:r>
      <w:r>
        <w:rPr>
          <w:rFonts w:hint="eastAsia"/>
          <w:szCs w:val="21"/>
        </w:rPr>
        <w:t>在专用合同条款中约定</w:t>
      </w:r>
      <w:r>
        <w:rPr>
          <w:szCs w:val="21"/>
        </w:rPr>
        <w:t>”</w:t>
      </w:r>
      <w:r>
        <w:rPr>
          <w:rFonts w:hint="eastAsia"/>
          <w:szCs w:val="21"/>
        </w:rPr>
        <w:t>等多种文字形式表达）；</w:t>
      </w:r>
    </w:p>
    <w:p w14:paraId="488290C2">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w:t>
      </w:r>
      <w:r>
        <w:rPr>
          <w:szCs w:val="21"/>
        </w:rPr>
        <w:t>“</w:t>
      </w:r>
      <w:r>
        <w:rPr>
          <w:rFonts w:hint="eastAsia"/>
          <w:szCs w:val="21"/>
        </w:rPr>
        <w:t>公路工程专用合同条款</w:t>
      </w:r>
      <w:r>
        <w:rPr>
          <w:szCs w:val="21"/>
        </w:rPr>
        <w:t>”</w:t>
      </w:r>
      <w:r>
        <w:rPr>
          <w:rFonts w:hint="eastAsia"/>
          <w:szCs w:val="21"/>
        </w:rPr>
        <w:t>中明确指出</w:t>
      </w:r>
      <w:r>
        <w:rPr>
          <w:szCs w:val="21"/>
        </w:rPr>
        <w:t>“</w:t>
      </w:r>
      <w:r>
        <w:rPr>
          <w:rFonts w:hint="eastAsia"/>
          <w:szCs w:val="21"/>
        </w:rPr>
        <w:t>项目专用合同条款</w:t>
      </w:r>
      <w:r>
        <w:rPr>
          <w:szCs w:val="21"/>
        </w:rPr>
        <w:t>”</w:t>
      </w:r>
      <w:r>
        <w:rPr>
          <w:rFonts w:hint="eastAsia"/>
          <w:szCs w:val="21"/>
        </w:rPr>
        <w:t>可对</w:t>
      </w:r>
      <w:r>
        <w:rPr>
          <w:szCs w:val="21"/>
        </w:rPr>
        <w:t>“</w:t>
      </w:r>
      <w:r>
        <w:rPr>
          <w:rFonts w:hint="eastAsia"/>
          <w:szCs w:val="21"/>
        </w:rPr>
        <w:t>公路工程专用合同条款</w:t>
      </w:r>
      <w:r>
        <w:rPr>
          <w:szCs w:val="21"/>
        </w:rPr>
        <w:t>”</w:t>
      </w:r>
      <w:r>
        <w:rPr>
          <w:rFonts w:hint="eastAsia"/>
          <w:szCs w:val="21"/>
        </w:rPr>
        <w:t>进行补充和细化的内容（在</w:t>
      </w:r>
      <w:r>
        <w:rPr>
          <w:szCs w:val="21"/>
        </w:rPr>
        <w:t>“</w:t>
      </w:r>
      <w:r>
        <w:rPr>
          <w:rFonts w:hint="eastAsia"/>
          <w:szCs w:val="21"/>
        </w:rPr>
        <w:t>公路工程专用合同条款</w:t>
      </w:r>
      <w:r>
        <w:rPr>
          <w:szCs w:val="21"/>
        </w:rPr>
        <w:t>”</w:t>
      </w:r>
      <w:r>
        <w:rPr>
          <w:rFonts w:hint="eastAsia"/>
          <w:szCs w:val="21"/>
        </w:rPr>
        <w:t>中用</w:t>
      </w:r>
      <w:r>
        <w:rPr>
          <w:szCs w:val="21"/>
        </w:rPr>
        <w:t>“</w:t>
      </w:r>
      <w:r>
        <w:rPr>
          <w:rFonts w:hint="eastAsia"/>
          <w:szCs w:val="21"/>
        </w:rPr>
        <w:t>除项目专用合同条款另有约定外</w:t>
      </w:r>
      <w:r>
        <w:rPr>
          <w:szCs w:val="21"/>
        </w:rPr>
        <w:t>”</w:t>
      </w:r>
      <w:r>
        <w:rPr>
          <w:rFonts w:hint="eastAsia"/>
          <w:szCs w:val="21"/>
        </w:rPr>
        <w:t>，</w:t>
      </w:r>
      <w:r>
        <w:rPr>
          <w:szCs w:val="21"/>
        </w:rPr>
        <w:t>“</w:t>
      </w:r>
      <w:r>
        <w:rPr>
          <w:rFonts w:hint="eastAsia"/>
          <w:szCs w:val="21"/>
        </w:rPr>
        <w:t>项目专用合同条款可能约定的</w:t>
      </w:r>
      <w:r>
        <w:rPr>
          <w:szCs w:val="21"/>
        </w:rPr>
        <w:t>”</w:t>
      </w:r>
      <w:r>
        <w:rPr>
          <w:rFonts w:hint="eastAsia"/>
          <w:szCs w:val="21"/>
        </w:rPr>
        <w:t>，</w:t>
      </w:r>
      <w:r>
        <w:rPr>
          <w:szCs w:val="21"/>
        </w:rPr>
        <w:t>“</w:t>
      </w:r>
      <w:r>
        <w:rPr>
          <w:rFonts w:hint="eastAsia"/>
          <w:szCs w:val="21"/>
        </w:rPr>
        <w:t>项目专用合同条款约定的其他情形</w:t>
      </w:r>
      <w:r>
        <w:rPr>
          <w:szCs w:val="21"/>
        </w:rPr>
        <w:t>”</w:t>
      </w:r>
      <w:r>
        <w:rPr>
          <w:rFonts w:hint="eastAsia"/>
          <w:szCs w:val="21"/>
        </w:rPr>
        <w:t>等多种文字形式表达）；</w:t>
      </w:r>
    </w:p>
    <w:p w14:paraId="7F06FEEF">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）其他需要补充、细化的内容。</w:t>
      </w:r>
    </w:p>
    <w:p w14:paraId="0B919DD9">
      <w:pPr>
        <w:pStyle w:val="6"/>
        <w:spacing w:line="360" w:lineRule="auto"/>
        <w:jc w:val="center"/>
        <w:rPr>
          <w:rFonts w:ascii="Times New Roman" w:hAnsi="Times New Roman"/>
          <w:sz w:val="24"/>
        </w:rPr>
      </w:pPr>
      <w:r>
        <w:rPr>
          <w:rFonts w:ascii="Times New Roman" w:hAnsi="Times New Roman"/>
        </w:rPr>
        <w:br w:type="page"/>
      </w:r>
      <w:bookmarkStart w:id="220" w:name="_Toc15239"/>
      <w:bookmarkStart w:id="221" w:name="_Toc21283"/>
      <w:bookmarkStart w:id="222" w:name="_Toc154675080"/>
      <w:r>
        <w:rPr>
          <w:rFonts w:hint="eastAsia" w:ascii="Times New Roman" w:hAnsi="Times New Roman"/>
        </w:rPr>
        <w:t>项目专用合同条款数据表</w:t>
      </w:r>
      <w:bookmarkEnd w:id="220"/>
      <w:bookmarkEnd w:id="221"/>
      <w:bookmarkEnd w:id="222"/>
    </w:p>
    <w:p w14:paraId="0A52AB95">
      <w:pPr>
        <w:tabs>
          <w:tab w:val="left" w:pos="2790"/>
        </w:tabs>
        <w:spacing w:line="360" w:lineRule="auto"/>
        <w:rPr>
          <w:szCs w:val="21"/>
        </w:rPr>
      </w:pPr>
      <w:r>
        <w:rPr>
          <w:rFonts w:hint="eastAsia" w:eastAsia="黑体"/>
          <w:szCs w:val="21"/>
        </w:rPr>
        <w:t>说明：</w:t>
      </w:r>
      <w:r>
        <w:rPr>
          <w:rFonts w:hint="eastAsia" w:eastAsia="楷体_GB2312"/>
          <w:szCs w:val="21"/>
        </w:rPr>
        <w:t>本数据表是项目专用合同条款中适用于本项目的信息和数据的归纳与提示，是项目专用合同条款的组成部分。</w:t>
      </w:r>
      <w:r>
        <w:rPr>
          <w:rStyle w:val="80"/>
          <w:rFonts w:eastAsia="黑体"/>
          <w:szCs w:val="21"/>
          <w:vertAlign w:val="superscript"/>
        </w:rPr>
        <w:footnoteReference w:id="6"/>
      </w:r>
      <w:r>
        <w:rPr>
          <w:szCs w:val="21"/>
        </w:rPr>
        <w:t xml:space="preserve"> </w:t>
      </w: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28" w:type="dxa"/>
          <w:bottom w:w="57" w:type="dxa"/>
          <w:right w:w="28" w:type="dxa"/>
        </w:tblCellMar>
      </w:tblPr>
      <w:tblGrid>
        <w:gridCol w:w="721"/>
        <w:gridCol w:w="1035"/>
        <w:gridCol w:w="7138"/>
      </w:tblGrid>
      <w:tr w14:paraId="217A3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blHeader/>
        </w:trPr>
        <w:tc>
          <w:tcPr>
            <w:tcW w:w="738" w:type="dxa"/>
            <w:vAlign w:val="center"/>
          </w:tcPr>
          <w:p w14:paraId="3CFA24DD">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rFonts w:hint="eastAsia"/>
                <w:szCs w:val="21"/>
              </w:rPr>
              <w:t>序号</w:t>
            </w:r>
          </w:p>
        </w:tc>
        <w:tc>
          <w:tcPr>
            <w:tcW w:w="1050" w:type="dxa"/>
            <w:vAlign w:val="center"/>
          </w:tcPr>
          <w:p w14:paraId="0A271098">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rFonts w:hint="eastAsia"/>
                <w:szCs w:val="21"/>
              </w:rPr>
              <w:t>条目号</w:t>
            </w:r>
          </w:p>
        </w:tc>
        <w:tc>
          <w:tcPr>
            <w:tcW w:w="7350" w:type="dxa"/>
            <w:vAlign w:val="center"/>
          </w:tcPr>
          <w:p w14:paraId="0E42B74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rFonts w:hint="eastAsia"/>
                <w:szCs w:val="21"/>
              </w:rPr>
              <w:t>信息或数据</w:t>
            </w:r>
          </w:p>
        </w:tc>
      </w:tr>
      <w:tr w14:paraId="2D3404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10D9A3D8">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w:t>
            </w:r>
          </w:p>
        </w:tc>
        <w:tc>
          <w:tcPr>
            <w:tcW w:w="1050" w:type="dxa"/>
            <w:vAlign w:val="center"/>
          </w:tcPr>
          <w:p w14:paraId="675F632A">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1.1.2.2</w:t>
            </w:r>
          </w:p>
        </w:tc>
        <w:tc>
          <w:tcPr>
            <w:tcW w:w="7350" w:type="dxa"/>
            <w:vAlign w:val="center"/>
          </w:tcPr>
          <w:p w14:paraId="05A5781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发包人：</w:t>
            </w:r>
          </w:p>
          <w:p w14:paraId="038A51BD">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地</w:t>
            </w:r>
            <w:r>
              <w:rPr>
                <w:szCs w:val="21"/>
              </w:rPr>
              <w:t xml:space="preserve">  </w:t>
            </w:r>
            <w:r>
              <w:rPr>
                <w:rFonts w:hint="eastAsia"/>
                <w:szCs w:val="21"/>
              </w:rPr>
              <w:t>址：</w:t>
            </w:r>
            <w:r>
              <w:rPr>
                <w:szCs w:val="21"/>
              </w:rPr>
              <w:t xml:space="preserve">                               </w:t>
            </w:r>
            <w:r>
              <w:rPr>
                <w:rFonts w:hint="eastAsia"/>
                <w:szCs w:val="21"/>
              </w:rPr>
              <w:t>邮政编码：</w:t>
            </w:r>
          </w:p>
        </w:tc>
      </w:tr>
      <w:tr w14:paraId="2A5E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79E1A5CF">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w:t>
            </w:r>
          </w:p>
        </w:tc>
        <w:tc>
          <w:tcPr>
            <w:tcW w:w="1050" w:type="dxa"/>
            <w:vAlign w:val="center"/>
          </w:tcPr>
          <w:p w14:paraId="19597A88">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1.1.2.6</w:t>
            </w:r>
          </w:p>
        </w:tc>
        <w:tc>
          <w:tcPr>
            <w:tcW w:w="7350" w:type="dxa"/>
            <w:vAlign w:val="center"/>
          </w:tcPr>
          <w:p w14:paraId="1C3BA837">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监理人：</w:t>
            </w:r>
          </w:p>
          <w:p w14:paraId="36A1C2FD">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地</w:t>
            </w:r>
            <w:r>
              <w:rPr>
                <w:szCs w:val="21"/>
              </w:rPr>
              <w:t xml:space="preserve">  </w:t>
            </w:r>
            <w:r>
              <w:rPr>
                <w:rFonts w:hint="eastAsia"/>
                <w:szCs w:val="21"/>
              </w:rPr>
              <w:t>址：</w:t>
            </w:r>
            <w:r>
              <w:rPr>
                <w:szCs w:val="21"/>
              </w:rPr>
              <w:t xml:space="preserve">                               </w:t>
            </w:r>
            <w:r>
              <w:rPr>
                <w:rFonts w:hint="eastAsia"/>
                <w:szCs w:val="21"/>
              </w:rPr>
              <w:t>邮政编码：</w:t>
            </w:r>
          </w:p>
        </w:tc>
      </w:tr>
      <w:tr w14:paraId="5B984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41EEA987">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3</w:t>
            </w:r>
          </w:p>
        </w:tc>
        <w:tc>
          <w:tcPr>
            <w:tcW w:w="1050" w:type="dxa"/>
            <w:vAlign w:val="center"/>
          </w:tcPr>
          <w:p w14:paraId="1FAD32B0">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1.1.4.5</w:t>
            </w:r>
          </w:p>
        </w:tc>
        <w:tc>
          <w:tcPr>
            <w:tcW w:w="7350" w:type="dxa"/>
            <w:vAlign w:val="center"/>
          </w:tcPr>
          <w:p w14:paraId="407112C5">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缺陷责任期：自实际交工日期起计算</w:t>
            </w:r>
            <w:r>
              <w:rPr>
                <w:szCs w:val="21"/>
                <w:u w:val="single"/>
              </w:rPr>
              <w:t xml:space="preserve">     </w:t>
            </w:r>
            <w:r>
              <w:rPr>
                <w:rFonts w:hint="eastAsia"/>
                <w:szCs w:val="21"/>
              </w:rPr>
              <w:t>年</w:t>
            </w:r>
            <w:r>
              <w:rPr>
                <w:rStyle w:val="80"/>
                <w:szCs w:val="21"/>
                <w:vertAlign w:val="superscript"/>
              </w:rPr>
              <w:footnoteReference w:id="7"/>
            </w:r>
          </w:p>
        </w:tc>
      </w:tr>
      <w:tr w14:paraId="2A8AE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72D2C986">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4</w:t>
            </w:r>
          </w:p>
        </w:tc>
        <w:tc>
          <w:tcPr>
            <w:tcW w:w="1050" w:type="dxa"/>
            <w:vAlign w:val="center"/>
          </w:tcPr>
          <w:p w14:paraId="0FC55D10">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1.6.3</w:t>
            </w:r>
          </w:p>
        </w:tc>
        <w:tc>
          <w:tcPr>
            <w:tcW w:w="7350" w:type="dxa"/>
            <w:vAlign w:val="center"/>
          </w:tcPr>
          <w:p w14:paraId="43BFF197">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图纸需要修改和补充的，应由监理人取得发包人同意后，在该工程或工程相应部位施工前</w:t>
            </w:r>
            <w:r>
              <w:rPr>
                <w:szCs w:val="21"/>
                <w:u w:val="single"/>
              </w:rPr>
              <w:t xml:space="preserve">     </w:t>
            </w:r>
            <w:r>
              <w:rPr>
                <w:rFonts w:hint="eastAsia"/>
                <w:szCs w:val="21"/>
              </w:rPr>
              <w:t>天内签发图纸修改图和补充图给承包人</w:t>
            </w:r>
          </w:p>
        </w:tc>
      </w:tr>
      <w:tr w14:paraId="764E6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7D43A38C">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5</w:t>
            </w:r>
          </w:p>
        </w:tc>
        <w:tc>
          <w:tcPr>
            <w:tcW w:w="1050" w:type="dxa"/>
            <w:vAlign w:val="center"/>
          </w:tcPr>
          <w:p w14:paraId="5F9FC6EE">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3.1.1</w:t>
            </w:r>
          </w:p>
        </w:tc>
        <w:tc>
          <w:tcPr>
            <w:tcW w:w="7350" w:type="dxa"/>
            <w:vAlign w:val="center"/>
          </w:tcPr>
          <w:p w14:paraId="57AF78AA">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监理人在行使下列权力前需要经发包人事先批准：</w:t>
            </w:r>
          </w:p>
          <w:p w14:paraId="422E7B0A">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w:t>
            </w:r>
            <w:r>
              <w:rPr>
                <w:szCs w:val="21"/>
              </w:rPr>
              <w:t>6</w:t>
            </w:r>
            <w:r>
              <w:rPr>
                <w:rFonts w:hint="eastAsia"/>
                <w:szCs w:val="21"/>
              </w:rPr>
              <w:t>）根据第</w:t>
            </w:r>
            <w:r>
              <w:rPr>
                <w:szCs w:val="21"/>
              </w:rPr>
              <w:t>15.3</w:t>
            </w:r>
            <w:r>
              <w:rPr>
                <w:rFonts w:hint="eastAsia"/>
                <w:szCs w:val="21"/>
              </w:rPr>
              <w:t>款发出的变更指示，其单项工程变更涉及的金额超过了该单项工程签约时合同价的</w:t>
            </w:r>
            <w:r>
              <w:rPr>
                <w:szCs w:val="21"/>
                <w:u w:val="single"/>
              </w:rPr>
              <w:t xml:space="preserve">     </w:t>
            </w:r>
            <w:r>
              <w:rPr>
                <w:szCs w:val="21"/>
              </w:rPr>
              <w:t>%</w:t>
            </w:r>
            <w:r>
              <w:rPr>
                <w:rFonts w:hint="eastAsia"/>
                <w:szCs w:val="21"/>
              </w:rPr>
              <w:t>或累计变更超过了签约合同价的</w:t>
            </w:r>
            <w:r>
              <w:rPr>
                <w:szCs w:val="21"/>
                <w:u w:val="single"/>
              </w:rPr>
              <w:t xml:space="preserve">     </w:t>
            </w:r>
            <w:r>
              <w:rPr>
                <w:szCs w:val="21"/>
              </w:rPr>
              <w:t>%</w:t>
            </w:r>
          </w:p>
        </w:tc>
      </w:tr>
      <w:tr w14:paraId="2166C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28DD8084">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6</w:t>
            </w:r>
          </w:p>
        </w:tc>
        <w:tc>
          <w:tcPr>
            <w:tcW w:w="1050" w:type="dxa"/>
            <w:vAlign w:val="center"/>
          </w:tcPr>
          <w:p w14:paraId="320531E0">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5.2.1</w:t>
            </w:r>
          </w:p>
        </w:tc>
        <w:tc>
          <w:tcPr>
            <w:tcW w:w="7350" w:type="dxa"/>
            <w:vAlign w:val="center"/>
          </w:tcPr>
          <w:p w14:paraId="07A4F433">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发包人是否提供材料或工程设备：</w:t>
            </w:r>
            <w:r>
              <w:rPr>
                <w:rFonts w:hint="eastAsia"/>
                <w:szCs w:val="21"/>
                <w:u w:val="single"/>
              </w:rPr>
              <w:t>是或否</w:t>
            </w:r>
          </w:p>
          <w:p w14:paraId="7006DDD1">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如发包人负责提供部分材料或工程设备，相关规定如下：</w:t>
            </w:r>
            <w:r>
              <w:rPr>
                <w:szCs w:val="21"/>
                <w:u w:val="single"/>
              </w:rPr>
              <w:t xml:space="preserve">          </w:t>
            </w:r>
          </w:p>
        </w:tc>
      </w:tr>
      <w:tr w14:paraId="1A5A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526" w:hRule="atLeast"/>
        </w:trPr>
        <w:tc>
          <w:tcPr>
            <w:tcW w:w="738" w:type="dxa"/>
            <w:vAlign w:val="center"/>
          </w:tcPr>
          <w:p w14:paraId="15180F53">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7</w:t>
            </w:r>
          </w:p>
        </w:tc>
        <w:tc>
          <w:tcPr>
            <w:tcW w:w="1050" w:type="dxa"/>
            <w:vAlign w:val="center"/>
          </w:tcPr>
          <w:p w14:paraId="25EFEE2E">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6.2</w:t>
            </w:r>
          </w:p>
        </w:tc>
        <w:tc>
          <w:tcPr>
            <w:tcW w:w="7350" w:type="dxa"/>
            <w:vAlign w:val="center"/>
          </w:tcPr>
          <w:p w14:paraId="712A6BAA">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发包人是否提供施工设备和临时设施：</w:t>
            </w:r>
            <w:r>
              <w:rPr>
                <w:rFonts w:hint="eastAsia"/>
                <w:szCs w:val="21"/>
                <w:u w:val="single"/>
              </w:rPr>
              <w:t>是或否</w:t>
            </w:r>
          </w:p>
          <w:p w14:paraId="0A6435E8">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如发包人负责提供部分施工设备和临时设施，相关规定如下：</w:t>
            </w:r>
            <w:r>
              <w:rPr>
                <w:szCs w:val="21"/>
                <w:u w:val="single"/>
              </w:rPr>
              <w:t xml:space="preserve">          </w:t>
            </w:r>
          </w:p>
        </w:tc>
      </w:tr>
      <w:tr w14:paraId="4B559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560" w:hRule="atLeast"/>
        </w:trPr>
        <w:tc>
          <w:tcPr>
            <w:tcW w:w="738" w:type="dxa"/>
            <w:vAlign w:val="center"/>
          </w:tcPr>
          <w:p w14:paraId="55CFE4E2">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8</w:t>
            </w:r>
          </w:p>
        </w:tc>
        <w:tc>
          <w:tcPr>
            <w:tcW w:w="1050" w:type="dxa"/>
            <w:vAlign w:val="center"/>
          </w:tcPr>
          <w:p w14:paraId="3B644B5E">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8.1.1</w:t>
            </w:r>
          </w:p>
        </w:tc>
        <w:tc>
          <w:tcPr>
            <w:tcW w:w="7350" w:type="dxa"/>
            <w:vAlign w:val="center"/>
          </w:tcPr>
          <w:p w14:paraId="3ACF91AF">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发包人提供测量基准点、基准线和水准点及其书面资料的期限：</w:t>
            </w:r>
            <w:r>
              <w:rPr>
                <w:szCs w:val="21"/>
                <w:u w:val="single"/>
              </w:rPr>
              <w:t xml:space="preserve">          </w:t>
            </w:r>
          </w:p>
          <w:p w14:paraId="22C57F6B">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承包人将施工控制网资料报送监理人审批的期限：</w:t>
            </w:r>
            <w:r>
              <w:rPr>
                <w:szCs w:val="21"/>
                <w:u w:val="single"/>
              </w:rPr>
              <w:t xml:space="preserve">          </w:t>
            </w:r>
          </w:p>
        </w:tc>
      </w:tr>
      <w:tr w14:paraId="7AF16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2DE253D8">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9</w:t>
            </w:r>
          </w:p>
        </w:tc>
        <w:tc>
          <w:tcPr>
            <w:tcW w:w="1050" w:type="dxa"/>
            <w:vAlign w:val="center"/>
          </w:tcPr>
          <w:p w14:paraId="5A4A88CF">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11.5</w:t>
            </w:r>
            <w:r>
              <w:rPr>
                <w:rFonts w:hint="eastAsia"/>
                <w:szCs w:val="21"/>
              </w:rPr>
              <w:t>（</w:t>
            </w:r>
            <w:r>
              <w:rPr>
                <w:szCs w:val="21"/>
              </w:rPr>
              <w:t>3</w:t>
            </w:r>
            <w:r>
              <w:rPr>
                <w:rFonts w:hint="eastAsia"/>
                <w:szCs w:val="21"/>
              </w:rPr>
              <w:t>）</w:t>
            </w:r>
          </w:p>
        </w:tc>
        <w:tc>
          <w:tcPr>
            <w:tcW w:w="7350" w:type="dxa"/>
            <w:vAlign w:val="center"/>
          </w:tcPr>
          <w:p w14:paraId="7D7555F2">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逾期交工违约金：</w:t>
            </w:r>
            <w:r>
              <w:rPr>
                <w:szCs w:val="21"/>
                <w:u w:val="single"/>
              </w:rPr>
              <w:t xml:space="preserve">     </w:t>
            </w:r>
            <w:r>
              <w:rPr>
                <w:rFonts w:hint="eastAsia"/>
                <w:szCs w:val="21"/>
              </w:rPr>
              <w:t>元／天</w:t>
            </w:r>
            <w:r>
              <w:rPr>
                <w:rStyle w:val="80"/>
                <w:szCs w:val="21"/>
                <w:vertAlign w:val="superscript"/>
              </w:rPr>
              <w:footnoteReference w:id="8"/>
            </w:r>
          </w:p>
        </w:tc>
      </w:tr>
      <w:tr w14:paraId="483A1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050FAA14">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10</w:t>
            </w:r>
          </w:p>
        </w:tc>
        <w:tc>
          <w:tcPr>
            <w:tcW w:w="1050" w:type="dxa"/>
            <w:vAlign w:val="center"/>
          </w:tcPr>
          <w:p w14:paraId="354CA221">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11.5</w:t>
            </w:r>
            <w:r>
              <w:rPr>
                <w:rFonts w:hint="eastAsia"/>
                <w:szCs w:val="21"/>
              </w:rPr>
              <w:t>（</w:t>
            </w:r>
            <w:r>
              <w:rPr>
                <w:szCs w:val="21"/>
              </w:rPr>
              <w:t>3</w:t>
            </w:r>
            <w:r>
              <w:rPr>
                <w:rFonts w:hint="eastAsia"/>
                <w:szCs w:val="21"/>
              </w:rPr>
              <w:t>）</w:t>
            </w:r>
          </w:p>
        </w:tc>
        <w:tc>
          <w:tcPr>
            <w:tcW w:w="7350" w:type="dxa"/>
            <w:vAlign w:val="center"/>
          </w:tcPr>
          <w:p w14:paraId="7BC4D7F8">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逾期交工违约金限额：</w:t>
            </w:r>
            <w:r>
              <w:rPr>
                <w:szCs w:val="21"/>
                <w:u w:val="single"/>
              </w:rPr>
              <w:t xml:space="preserve">     </w:t>
            </w:r>
            <w:r>
              <w:rPr>
                <w:szCs w:val="21"/>
              </w:rPr>
              <w:t>%</w:t>
            </w:r>
            <w:r>
              <w:rPr>
                <w:rFonts w:hint="eastAsia"/>
                <w:szCs w:val="21"/>
              </w:rPr>
              <w:t>签约合同价</w:t>
            </w:r>
            <w:r>
              <w:rPr>
                <w:rStyle w:val="80"/>
                <w:szCs w:val="21"/>
                <w:vertAlign w:val="superscript"/>
              </w:rPr>
              <w:footnoteReference w:id="9"/>
            </w:r>
          </w:p>
        </w:tc>
      </w:tr>
      <w:tr w14:paraId="4367A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22C93CD5">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w:t>
            </w:r>
          </w:p>
        </w:tc>
        <w:tc>
          <w:tcPr>
            <w:tcW w:w="1050" w:type="dxa"/>
            <w:vAlign w:val="center"/>
          </w:tcPr>
          <w:p w14:paraId="59AF83B6">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11.6</w:t>
            </w:r>
          </w:p>
        </w:tc>
        <w:tc>
          <w:tcPr>
            <w:tcW w:w="7350" w:type="dxa"/>
            <w:vAlign w:val="center"/>
          </w:tcPr>
          <w:p w14:paraId="127E1CD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提前交工的奖金：</w:t>
            </w:r>
            <w:r>
              <w:rPr>
                <w:szCs w:val="21"/>
                <w:u w:val="single"/>
              </w:rPr>
              <w:t xml:space="preserve">     </w:t>
            </w:r>
            <w:r>
              <w:rPr>
                <w:rFonts w:hint="eastAsia"/>
                <w:szCs w:val="21"/>
              </w:rPr>
              <w:t>元／天</w:t>
            </w:r>
          </w:p>
        </w:tc>
      </w:tr>
      <w:tr w14:paraId="22513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1C2D89BA">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12</w:t>
            </w:r>
          </w:p>
        </w:tc>
        <w:tc>
          <w:tcPr>
            <w:tcW w:w="1050" w:type="dxa"/>
            <w:vAlign w:val="center"/>
          </w:tcPr>
          <w:p w14:paraId="7EB5A2E5">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11.6</w:t>
            </w:r>
          </w:p>
        </w:tc>
        <w:tc>
          <w:tcPr>
            <w:tcW w:w="7350" w:type="dxa"/>
            <w:vAlign w:val="center"/>
          </w:tcPr>
          <w:p w14:paraId="0F74DCA2">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提前交工的奖金限额：</w:t>
            </w:r>
            <w:r>
              <w:rPr>
                <w:szCs w:val="21"/>
                <w:u w:val="single"/>
              </w:rPr>
              <w:t xml:space="preserve">     </w:t>
            </w:r>
            <w:r>
              <w:rPr>
                <w:szCs w:val="21"/>
              </w:rPr>
              <w:t>%</w:t>
            </w:r>
            <w:r>
              <w:rPr>
                <w:rFonts w:hint="eastAsia"/>
                <w:szCs w:val="21"/>
              </w:rPr>
              <w:t>签约合同价</w:t>
            </w:r>
          </w:p>
        </w:tc>
      </w:tr>
      <w:tr w14:paraId="70483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90" w:hRule="atLeast"/>
        </w:trPr>
        <w:tc>
          <w:tcPr>
            <w:tcW w:w="738" w:type="dxa"/>
            <w:vAlign w:val="center"/>
          </w:tcPr>
          <w:p w14:paraId="359A8702">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13</w:t>
            </w:r>
          </w:p>
        </w:tc>
        <w:tc>
          <w:tcPr>
            <w:tcW w:w="1050" w:type="dxa"/>
            <w:vAlign w:val="center"/>
          </w:tcPr>
          <w:p w14:paraId="5C09DC63">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15.5.2</w:t>
            </w:r>
          </w:p>
        </w:tc>
        <w:tc>
          <w:tcPr>
            <w:tcW w:w="7350" w:type="dxa"/>
            <w:vAlign w:val="center"/>
          </w:tcPr>
          <w:p w14:paraId="1A515E54">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承包人提出的合理化建议降低了合同价格或者提高了工程经济效益的，发包人按所节约成本的</w:t>
            </w:r>
            <w:r>
              <w:rPr>
                <w:szCs w:val="21"/>
                <w:u w:val="single"/>
              </w:rPr>
              <w:t xml:space="preserve">     </w:t>
            </w:r>
            <w:r>
              <w:rPr>
                <w:szCs w:val="21"/>
              </w:rPr>
              <w:t>%</w:t>
            </w:r>
            <w:r>
              <w:rPr>
                <w:rFonts w:hint="eastAsia"/>
                <w:szCs w:val="21"/>
              </w:rPr>
              <w:t>或增加收益的</w:t>
            </w:r>
            <w:r>
              <w:rPr>
                <w:szCs w:val="21"/>
                <w:u w:val="single"/>
              </w:rPr>
              <w:t xml:space="preserve">     </w:t>
            </w:r>
            <w:r>
              <w:rPr>
                <w:szCs w:val="21"/>
              </w:rPr>
              <w:t>%</w:t>
            </w:r>
            <w:r>
              <w:rPr>
                <w:rFonts w:hint="eastAsia"/>
                <w:szCs w:val="21"/>
              </w:rPr>
              <w:t>给予奖励</w:t>
            </w:r>
          </w:p>
        </w:tc>
      </w:tr>
      <w:tr w14:paraId="54203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274" w:hRule="atLeast"/>
        </w:trPr>
        <w:tc>
          <w:tcPr>
            <w:tcW w:w="738" w:type="dxa"/>
            <w:vAlign w:val="center"/>
          </w:tcPr>
          <w:p w14:paraId="023444E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14</w:t>
            </w:r>
          </w:p>
        </w:tc>
        <w:tc>
          <w:tcPr>
            <w:tcW w:w="1050" w:type="dxa"/>
            <w:vAlign w:val="center"/>
          </w:tcPr>
          <w:p w14:paraId="11DB5CF6">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16.1</w:t>
            </w:r>
          </w:p>
        </w:tc>
        <w:tc>
          <w:tcPr>
            <w:tcW w:w="7350" w:type="dxa"/>
            <w:vAlign w:val="center"/>
          </w:tcPr>
          <w:p w14:paraId="7E168FB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ascii="宋体" w:hAnsi="宋体"/>
                <w:szCs w:val="21"/>
              </w:rPr>
              <w:t>□</w:t>
            </w:r>
            <w:r>
              <w:rPr>
                <w:rFonts w:hint="eastAsia"/>
                <w:szCs w:val="21"/>
              </w:rPr>
              <w:t>因物价波动引起的价格调整按照</w:t>
            </w:r>
            <w:r>
              <w:rPr>
                <w:rFonts w:hint="eastAsia"/>
                <w:szCs w:val="21"/>
                <w:u w:val="single"/>
              </w:rPr>
              <w:t>第</w:t>
            </w:r>
            <w:r>
              <w:rPr>
                <w:szCs w:val="21"/>
                <w:u w:val="single"/>
              </w:rPr>
              <w:t>16.1.1</w:t>
            </w:r>
            <w:r>
              <w:rPr>
                <w:rFonts w:hint="eastAsia"/>
                <w:szCs w:val="21"/>
                <w:u w:val="single"/>
              </w:rPr>
              <w:t>或第</w:t>
            </w:r>
            <w:r>
              <w:rPr>
                <w:szCs w:val="21"/>
                <w:u w:val="single"/>
              </w:rPr>
              <w:t>16.1.2</w:t>
            </w:r>
            <w:r>
              <w:rPr>
                <w:rFonts w:hint="eastAsia"/>
                <w:szCs w:val="21"/>
                <w:u w:val="single"/>
              </w:rPr>
              <w:t>项</w:t>
            </w:r>
            <w:r>
              <w:rPr>
                <w:rFonts w:hint="eastAsia"/>
                <w:szCs w:val="21"/>
              </w:rPr>
              <w:t>约定的原则处理</w:t>
            </w:r>
          </w:p>
          <w:p w14:paraId="2056BD8E">
            <w:pPr>
              <w:keepNext w:val="0"/>
              <w:keepLines w:val="0"/>
              <w:pageBreakBefore w:val="0"/>
              <w:widowControl w:val="0"/>
              <w:tabs>
                <w:tab w:val="left" w:pos="2790"/>
              </w:tabs>
              <w:kinsoku/>
              <w:wordWrap/>
              <w:overflowPunct/>
              <w:topLinePunct w:val="0"/>
              <w:autoSpaceDE/>
              <w:autoSpaceDN/>
              <w:bidi w:val="0"/>
              <w:adjustRightInd/>
              <w:snapToGrid/>
              <w:spacing w:line="240" w:lineRule="auto"/>
              <w:ind w:left="420" w:leftChars="200"/>
              <w:jc w:val="left"/>
              <w:textAlignment w:val="auto"/>
              <w:rPr>
                <w:szCs w:val="21"/>
              </w:rPr>
            </w:pPr>
            <w:r>
              <w:rPr>
                <w:rFonts w:hint="eastAsia"/>
                <w:szCs w:val="21"/>
              </w:rPr>
              <w:t>若按第</w:t>
            </w:r>
            <w:r>
              <w:rPr>
                <w:szCs w:val="21"/>
              </w:rPr>
              <w:t>16.1.1</w:t>
            </w:r>
            <w:r>
              <w:rPr>
                <w:rFonts w:hint="eastAsia"/>
                <w:szCs w:val="21"/>
              </w:rPr>
              <w:t>项的约定采用价格调整公式进行调价，</w:t>
            </w:r>
            <w:r>
              <w:rPr>
                <w:rFonts w:hint="eastAsia"/>
                <w:szCs w:val="21"/>
                <w:u w:val="single"/>
              </w:rPr>
              <w:t>每半年或一年</w:t>
            </w:r>
            <w:r>
              <w:rPr>
                <w:rFonts w:hint="eastAsia"/>
                <w:szCs w:val="21"/>
              </w:rPr>
              <w:t>按价格调整公式进行一次调整</w:t>
            </w:r>
            <w:r>
              <w:rPr>
                <w:rStyle w:val="80"/>
                <w:szCs w:val="21"/>
                <w:vertAlign w:val="superscript"/>
              </w:rPr>
              <w:footnoteReference w:id="10"/>
            </w:r>
          </w:p>
          <w:p w14:paraId="6DE05FA2">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ascii="宋体" w:hAnsi="宋体"/>
                <w:szCs w:val="21"/>
              </w:rPr>
              <w:t>□</w:t>
            </w:r>
            <w:r>
              <w:rPr>
                <w:rFonts w:hint="eastAsia"/>
                <w:szCs w:val="21"/>
              </w:rPr>
              <w:t>合同期内不调价</w:t>
            </w:r>
            <w:r>
              <w:rPr>
                <w:rStyle w:val="80"/>
                <w:szCs w:val="21"/>
                <w:vertAlign w:val="superscript"/>
              </w:rPr>
              <w:footnoteReference w:id="11"/>
            </w:r>
          </w:p>
        </w:tc>
      </w:tr>
      <w:tr w14:paraId="065E1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07AC4CD7">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15</w:t>
            </w:r>
          </w:p>
        </w:tc>
        <w:tc>
          <w:tcPr>
            <w:tcW w:w="1050" w:type="dxa"/>
            <w:vAlign w:val="center"/>
          </w:tcPr>
          <w:p w14:paraId="787F007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17.2.1</w:t>
            </w:r>
            <w:r>
              <w:rPr>
                <w:rFonts w:hint="eastAsia"/>
                <w:szCs w:val="21"/>
              </w:rPr>
              <w:t>（</w:t>
            </w:r>
            <w:r>
              <w:rPr>
                <w:szCs w:val="21"/>
              </w:rPr>
              <w:t>1</w:t>
            </w:r>
            <w:r>
              <w:rPr>
                <w:rFonts w:hint="eastAsia"/>
                <w:szCs w:val="21"/>
              </w:rPr>
              <w:t>）</w:t>
            </w:r>
          </w:p>
        </w:tc>
        <w:tc>
          <w:tcPr>
            <w:tcW w:w="7350" w:type="dxa"/>
            <w:vAlign w:val="center"/>
          </w:tcPr>
          <w:p w14:paraId="26897036">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开工预付款金额：</w:t>
            </w:r>
            <w:r>
              <w:rPr>
                <w:szCs w:val="21"/>
                <w:u w:val="single"/>
              </w:rPr>
              <w:t xml:space="preserve"> 10 </w:t>
            </w:r>
            <w:r>
              <w:rPr>
                <w:szCs w:val="21"/>
              </w:rPr>
              <w:t>%</w:t>
            </w:r>
            <w:r>
              <w:rPr>
                <w:rFonts w:hint="eastAsia"/>
                <w:szCs w:val="21"/>
              </w:rPr>
              <w:t>签约合同价</w:t>
            </w:r>
            <w:r>
              <w:rPr>
                <w:rStyle w:val="80"/>
                <w:szCs w:val="21"/>
                <w:vertAlign w:val="superscript"/>
              </w:rPr>
              <w:footnoteReference w:id="12"/>
            </w:r>
          </w:p>
        </w:tc>
      </w:tr>
      <w:tr w14:paraId="6BC65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7FC549D0">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16</w:t>
            </w:r>
          </w:p>
        </w:tc>
        <w:tc>
          <w:tcPr>
            <w:tcW w:w="1050" w:type="dxa"/>
            <w:vAlign w:val="center"/>
          </w:tcPr>
          <w:p w14:paraId="628BAA3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17.2.1</w:t>
            </w:r>
            <w:r>
              <w:rPr>
                <w:rFonts w:hint="eastAsia"/>
                <w:szCs w:val="21"/>
              </w:rPr>
              <w:t>（</w:t>
            </w:r>
            <w:r>
              <w:rPr>
                <w:szCs w:val="21"/>
              </w:rPr>
              <w:t>2</w:t>
            </w:r>
            <w:r>
              <w:rPr>
                <w:rFonts w:hint="eastAsia"/>
                <w:szCs w:val="21"/>
              </w:rPr>
              <w:t>）</w:t>
            </w:r>
          </w:p>
        </w:tc>
        <w:tc>
          <w:tcPr>
            <w:tcW w:w="7350" w:type="dxa"/>
            <w:vAlign w:val="center"/>
          </w:tcPr>
          <w:p w14:paraId="703CD4BF">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材料、设备预付款比例：</w:t>
            </w:r>
            <w:r>
              <w:rPr>
                <w:szCs w:val="21"/>
                <w:u w:val="single"/>
              </w:rPr>
              <w:t xml:space="preserve">     </w:t>
            </w:r>
            <w:r>
              <w:rPr>
                <w:rFonts w:hint="eastAsia"/>
                <w:szCs w:val="21"/>
              </w:rPr>
              <w:t>等主要材料、设备单据所列费用的</w:t>
            </w:r>
            <w:r>
              <w:rPr>
                <w:szCs w:val="21"/>
                <w:u w:val="single"/>
              </w:rPr>
              <w:t xml:space="preserve">     </w:t>
            </w:r>
            <w:r>
              <w:rPr>
                <w:szCs w:val="21"/>
              </w:rPr>
              <w:t>%</w:t>
            </w:r>
            <w:r>
              <w:rPr>
                <w:rStyle w:val="80"/>
                <w:szCs w:val="21"/>
                <w:vertAlign w:val="superscript"/>
              </w:rPr>
              <w:footnoteReference w:id="13"/>
            </w:r>
          </w:p>
        </w:tc>
      </w:tr>
      <w:tr w14:paraId="0ECF7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468AF615">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w:t>
            </w:r>
          </w:p>
        </w:tc>
        <w:tc>
          <w:tcPr>
            <w:tcW w:w="1050" w:type="dxa"/>
            <w:vAlign w:val="center"/>
          </w:tcPr>
          <w:p w14:paraId="0E68F4DA">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17.3.2</w:t>
            </w:r>
          </w:p>
        </w:tc>
        <w:tc>
          <w:tcPr>
            <w:tcW w:w="7350" w:type="dxa"/>
            <w:vAlign w:val="center"/>
          </w:tcPr>
          <w:p w14:paraId="10F67051">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承包人在每个付款周期末向监理人提交进度付款申请单的份数：</w:t>
            </w:r>
            <w:r>
              <w:rPr>
                <w:szCs w:val="21"/>
                <w:u w:val="single"/>
              </w:rPr>
              <w:t xml:space="preserve">     </w:t>
            </w:r>
            <w:r>
              <w:rPr>
                <w:rFonts w:hint="eastAsia"/>
                <w:szCs w:val="21"/>
              </w:rPr>
              <w:t>份</w:t>
            </w:r>
          </w:p>
        </w:tc>
      </w:tr>
      <w:tr w14:paraId="55EA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3241966B">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18</w:t>
            </w:r>
          </w:p>
        </w:tc>
        <w:tc>
          <w:tcPr>
            <w:tcW w:w="1050" w:type="dxa"/>
            <w:vAlign w:val="center"/>
          </w:tcPr>
          <w:p w14:paraId="1A93B40C">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17.3.3</w:t>
            </w:r>
            <w:r>
              <w:rPr>
                <w:rFonts w:hint="eastAsia"/>
                <w:szCs w:val="21"/>
              </w:rPr>
              <w:t>（</w:t>
            </w:r>
            <w:r>
              <w:rPr>
                <w:szCs w:val="21"/>
              </w:rPr>
              <w:t>1</w:t>
            </w:r>
            <w:r>
              <w:rPr>
                <w:rFonts w:hint="eastAsia"/>
                <w:szCs w:val="21"/>
              </w:rPr>
              <w:t>）</w:t>
            </w:r>
          </w:p>
        </w:tc>
        <w:tc>
          <w:tcPr>
            <w:tcW w:w="7350" w:type="dxa"/>
            <w:vAlign w:val="center"/>
          </w:tcPr>
          <w:p w14:paraId="0C07D54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进度付款证书最低限额：</w:t>
            </w:r>
            <w:r>
              <w:rPr>
                <w:szCs w:val="21"/>
                <w:u w:val="single"/>
              </w:rPr>
              <w:t xml:space="preserve">     </w:t>
            </w:r>
            <w:r>
              <w:rPr>
                <w:szCs w:val="21"/>
              </w:rPr>
              <w:t>%</w:t>
            </w:r>
            <w:r>
              <w:rPr>
                <w:rFonts w:hint="eastAsia"/>
                <w:szCs w:val="21"/>
              </w:rPr>
              <w:t>签约合同价或</w:t>
            </w:r>
            <w:r>
              <w:rPr>
                <w:szCs w:val="21"/>
                <w:u w:val="single"/>
              </w:rPr>
              <w:t xml:space="preserve">     </w:t>
            </w:r>
            <w:r>
              <w:rPr>
                <w:rFonts w:hint="eastAsia"/>
                <w:szCs w:val="21"/>
              </w:rPr>
              <w:t>万元</w:t>
            </w:r>
          </w:p>
        </w:tc>
      </w:tr>
      <w:tr w14:paraId="7811B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0E491F26">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19</w:t>
            </w:r>
          </w:p>
        </w:tc>
        <w:tc>
          <w:tcPr>
            <w:tcW w:w="1050" w:type="dxa"/>
            <w:vAlign w:val="center"/>
          </w:tcPr>
          <w:p w14:paraId="7272DF03">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17.3.3</w:t>
            </w:r>
            <w:r>
              <w:rPr>
                <w:rFonts w:hint="eastAsia"/>
                <w:szCs w:val="21"/>
              </w:rPr>
              <w:t>（</w:t>
            </w:r>
            <w:r>
              <w:rPr>
                <w:szCs w:val="21"/>
              </w:rPr>
              <w:t>2</w:t>
            </w:r>
            <w:r>
              <w:rPr>
                <w:rFonts w:hint="eastAsia"/>
                <w:szCs w:val="21"/>
              </w:rPr>
              <w:t>）</w:t>
            </w:r>
          </w:p>
        </w:tc>
        <w:tc>
          <w:tcPr>
            <w:tcW w:w="7350" w:type="dxa"/>
            <w:vAlign w:val="center"/>
          </w:tcPr>
          <w:p w14:paraId="034329D9">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逾期付款违约金的利率：</w:t>
            </w:r>
            <w:r>
              <w:rPr>
                <w:szCs w:val="21"/>
                <w:u w:val="single"/>
              </w:rPr>
              <w:t xml:space="preserve">     </w:t>
            </w:r>
            <w:r>
              <w:rPr>
                <w:szCs w:val="21"/>
              </w:rPr>
              <w:t>‰</w:t>
            </w:r>
            <w:r>
              <w:rPr>
                <w:rFonts w:hint="eastAsia"/>
                <w:szCs w:val="21"/>
              </w:rPr>
              <w:t>／天</w:t>
            </w:r>
            <w:r>
              <w:rPr>
                <w:rStyle w:val="80"/>
                <w:szCs w:val="21"/>
                <w:vertAlign w:val="superscript"/>
              </w:rPr>
              <w:footnoteReference w:id="14"/>
            </w:r>
          </w:p>
        </w:tc>
      </w:tr>
      <w:tr w14:paraId="323AB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4BCD3AA1">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20</w:t>
            </w:r>
          </w:p>
        </w:tc>
        <w:tc>
          <w:tcPr>
            <w:tcW w:w="1050" w:type="dxa"/>
            <w:vAlign w:val="center"/>
          </w:tcPr>
          <w:p w14:paraId="14DBA8C3">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17.4.1</w:t>
            </w:r>
          </w:p>
        </w:tc>
        <w:tc>
          <w:tcPr>
            <w:tcW w:w="7350" w:type="dxa"/>
            <w:vAlign w:val="center"/>
          </w:tcPr>
          <w:p w14:paraId="6E005C5A">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质量保证金金额：</w:t>
            </w:r>
            <w:r>
              <w:rPr>
                <w:szCs w:val="21"/>
                <w:u w:val="single"/>
              </w:rPr>
              <w:t>1.5</w:t>
            </w:r>
            <w:r>
              <w:rPr>
                <w:szCs w:val="21"/>
              </w:rPr>
              <w:t>%</w:t>
            </w:r>
            <w:r>
              <w:rPr>
                <w:rFonts w:hint="eastAsia"/>
                <w:szCs w:val="21"/>
              </w:rPr>
              <w:t>合同价格，允许采用现金、支票或工程保函（包括银行保函、保险机构保证保险保单和融资担保公司保函）形式。</w:t>
            </w:r>
          </w:p>
          <w:p w14:paraId="64918916">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质量保证金是否计付利息：</w:t>
            </w:r>
          </w:p>
          <w:p w14:paraId="0F6140E2">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ascii="宋体" w:hAnsi="宋体"/>
                <w:szCs w:val="21"/>
              </w:rPr>
              <w:t>□</w:t>
            </w:r>
            <w:r>
              <w:rPr>
                <w:rFonts w:hint="eastAsia"/>
                <w:szCs w:val="21"/>
              </w:rPr>
              <w:t>是，利息的计算方式：</w:t>
            </w:r>
            <w:r>
              <w:rPr>
                <w:szCs w:val="21"/>
              </w:rPr>
              <w:t>_____________</w:t>
            </w:r>
          </w:p>
          <w:p w14:paraId="45875B15">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ascii="宋体" w:hAnsi="宋体"/>
                <w:szCs w:val="21"/>
              </w:rPr>
              <w:t>□</w:t>
            </w:r>
            <w:r>
              <w:rPr>
                <w:rFonts w:hint="eastAsia"/>
                <w:szCs w:val="21"/>
              </w:rPr>
              <w:t>否</w:t>
            </w:r>
          </w:p>
        </w:tc>
      </w:tr>
      <w:tr w14:paraId="61126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2AAE0326">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21</w:t>
            </w:r>
          </w:p>
        </w:tc>
        <w:tc>
          <w:tcPr>
            <w:tcW w:w="1050" w:type="dxa"/>
            <w:vAlign w:val="center"/>
          </w:tcPr>
          <w:p w14:paraId="7A436CDD">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17.5.1</w:t>
            </w:r>
            <w:r>
              <w:rPr>
                <w:rFonts w:hint="eastAsia"/>
                <w:szCs w:val="21"/>
              </w:rPr>
              <w:t>（</w:t>
            </w:r>
            <w:r>
              <w:rPr>
                <w:szCs w:val="21"/>
              </w:rPr>
              <w:t>1</w:t>
            </w:r>
            <w:r>
              <w:rPr>
                <w:rFonts w:hint="eastAsia"/>
                <w:szCs w:val="21"/>
              </w:rPr>
              <w:t>）</w:t>
            </w:r>
          </w:p>
        </w:tc>
        <w:tc>
          <w:tcPr>
            <w:tcW w:w="7350" w:type="dxa"/>
            <w:vAlign w:val="center"/>
          </w:tcPr>
          <w:p w14:paraId="01F0D7D2">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承包人向监理人提交交工付款申请单（包括相关证明材料）的份数：</w:t>
            </w:r>
            <w:r>
              <w:rPr>
                <w:szCs w:val="21"/>
                <w:u w:val="single"/>
              </w:rPr>
              <w:t xml:space="preserve">     </w:t>
            </w:r>
            <w:r>
              <w:rPr>
                <w:rFonts w:hint="eastAsia"/>
                <w:szCs w:val="21"/>
              </w:rPr>
              <w:t>份</w:t>
            </w:r>
          </w:p>
        </w:tc>
      </w:tr>
      <w:tr w14:paraId="32DF4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5A4FEF75">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22</w:t>
            </w:r>
          </w:p>
        </w:tc>
        <w:tc>
          <w:tcPr>
            <w:tcW w:w="1050" w:type="dxa"/>
            <w:vAlign w:val="center"/>
          </w:tcPr>
          <w:p w14:paraId="0D3D1E1F">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17.6.1</w:t>
            </w:r>
            <w:r>
              <w:rPr>
                <w:rFonts w:hint="eastAsia"/>
                <w:szCs w:val="21"/>
              </w:rPr>
              <w:t>（</w:t>
            </w:r>
            <w:r>
              <w:rPr>
                <w:szCs w:val="21"/>
              </w:rPr>
              <w:t>1</w:t>
            </w:r>
            <w:r>
              <w:rPr>
                <w:rFonts w:hint="eastAsia"/>
                <w:szCs w:val="21"/>
              </w:rPr>
              <w:t>）</w:t>
            </w:r>
          </w:p>
        </w:tc>
        <w:tc>
          <w:tcPr>
            <w:tcW w:w="7350" w:type="dxa"/>
            <w:vAlign w:val="center"/>
          </w:tcPr>
          <w:p w14:paraId="06605E1C">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承包人向监理人提交最终结清申请单（包括相关证明材料）的份数：</w:t>
            </w:r>
            <w:r>
              <w:rPr>
                <w:szCs w:val="21"/>
                <w:u w:val="single"/>
              </w:rPr>
              <w:t xml:space="preserve">     </w:t>
            </w:r>
            <w:r>
              <w:rPr>
                <w:rFonts w:hint="eastAsia"/>
                <w:szCs w:val="21"/>
              </w:rPr>
              <w:t>份</w:t>
            </w:r>
          </w:p>
        </w:tc>
      </w:tr>
      <w:tr w14:paraId="40B49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5EFBBE4B">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23</w:t>
            </w:r>
          </w:p>
        </w:tc>
        <w:tc>
          <w:tcPr>
            <w:tcW w:w="1050" w:type="dxa"/>
            <w:vAlign w:val="center"/>
          </w:tcPr>
          <w:p w14:paraId="3456503F">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18.2</w:t>
            </w:r>
            <w:r>
              <w:rPr>
                <w:rFonts w:hint="eastAsia"/>
                <w:szCs w:val="21"/>
              </w:rPr>
              <w:t>（</w:t>
            </w:r>
            <w:r>
              <w:rPr>
                <w:szCs w:val="21"/>
              </w:rPr>
              <w:t>2</w:t>
            </w:r>
            <w:r>
              <w:rPr>
                <w:rFonts w:hint="eastAsia"/>
                <w:szCs w:val="21"/>
              </w:rPr>
              <w:t>）</w:t>
            </w:r>
          </w:p>
        </w:tc>
        <w:tc>
          <w:tcPr>
            <w:tcW w:w="7350" w:type="dxa"/>
            <w:vAlign w:val="center"/>
          </w:tcPr>
          <w:p w14:paraId="23028CA1">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竣工资料的份数：</w:t>
            </w:r>
            <w:r>
              <w:rPr>
                <w:szCs w:val="21"/>
                <w:u w:val="single"/>
              </w:rPr>
              <w:t xml:space="preserve">     </w:t>
            </w:r>
            <w:r>
              <w:rPr>
                <w:rFonts w:hint="eastAsia"/>
                <w:szCs w:val="21"/>
              </w:rPr>
              <w:t>份</w:t>
            </w:r>
          </w:p>
        </w:tc>
      </w:tr>
      <w:tr w14:paraId="7C7CC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59B2BCB4">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24</w:t>
            </w:r>
          </w:p>
        </w:tc>
        <w:tc>
          <w:tcPr>
            <w:tcW w:w="1050" w:type="dxa"/>
            <w:vAlign w:val="center"/>
          </w:tcPr>
          <w:p w14:paraId="39F5F28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18.5.1</w:t>
            </w:r>
          </w:p>
        </w:tc>
        <w:tc>
          <w:tcPr>
            <w:tcW w:w="7350" w:type="dxa"/>
            <w:vAlign w:val="center"/>
          </w:tcPr>
          <w:p w14:paraId="4736E340">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单位工程或工程设备是否需投入施工期运行：</w:t>
            </w:r>
            <w:r>
              <w:rPr>
                <w:rFonts w:hint="eastAsia"/>
                <w:szCs w:val="21"/>
                <w:u w:val="single"/>
              </w:rPr>
              <w:t>是或否</w:t>
            </w:r>
          </w:p>
          <w:p w14:paraId="387FBFE1">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如单位工程或工程设备需要进行施工期运行，需要施工期运行的单位工程或工程设备规定如下：</w:t>
            </w:r>
            <w:r>
              <w:rPr>
                <w:szCs w:val="21"/>
                <w:u w:val="single"/>
              </w:rPr>
              <w:t xml:space="preserve">         </w:t>
            </w:r>
          </w:p>
        </w:tc>
      </w:tr>
      <w:tr w14:paraId="61C1D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0820447D">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25</w:t>
            </w:r>
          </w:p>
        </w:tc>
        <w:tc>
          <w:tcPr>
            <w:tcW w:w="1050" w:type="dxa"/>
            <w:vAlign w:val="center"/>
          </w:tcPr>
          <w:p w14:paraId="4FF5710A">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18.6.1</w:t>
            </w:r>
          </w:p>
        </w:tc>
        <w:tc>
          <w:tcPr>
            <w:tcW w:w="7350" w:type="dxa"/>
            <w:vAlign w:val="center"/>
          </w:tcPr>
          <w:p w14:paraId="5716FC14">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本工程及工程设备是否进行试运行：</w:t>
            </w:r>
            <w:r>
              <w:rPr>
                <w:rFonts w:hint="eastAsia"/>
                <w:szCs w:val="21"/>
                <w:u w:val="single"/>
              </w:rPr>
              <w:t>是或否</w:t>
            </w:r>
          </w:p>
          <w:p w14:paraId="4B984DF7">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如本工程及工程设备需要进行试运行，试运行的具体规定如下：</w:t>
            </w:r>
            <w:r>
              <w:rPr>
                <w:szCs w:val="21"/>
                <w:u w:val="single"/>
              </w:rPr>
              <w:t xml:space="preserve">         </w:t>
            </w:r>
          </w:p>
        </w:tc>
      </w:tr>
      <w:tr w14:paraId="292A7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11769307">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26</w:t>
            </w:r>
          </w:p>
        </w:tc>
        <w:tc>
          <w:tcPr>
            <w:tcW w:w="1050" w:type="dxa"/>
            <w:vAlign w:val="center"/>
          </w:tcPr>
          <w:p w14:paraId="5FD11DBF">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19.7</w:t>
            </w:r>
            <w:r>
              <w:rPr>
                <w:rFonts w:hint="eastAsia"/>
                <w:szCs w:val="21"/>
              </w:rPr>
              <w:t>（</w:t>
            </w:r>
            <w:r>
              <w:rPr>
                <w:szCs w:val="21"/>
              </w:rPr>
              <w:t>1</w:t>
            </w:r>
            <w:r>
              <w:rPr>
                <w:rFonts w:hint="eastAsia"/>
                <w:szCs w:val="21"/>
              </w:rPr>
              <w:t>）</w:t>
            </w:r>
          </w:p>
        </w:tc>
        <w:tc>
          <w:tcPr>
            <w:tcW w:w="7350" w:type="dxa"/>
            <w:vAlign w:val="center"/>
          </w:tcPr>
          <w:p w14:paraId="6CE26465">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保修期：自实际交工日期起计算</w:t>
            </w:r>
            <w:r>
              <w:rPr>
                <w:szCs w:val="21"/>
                <w:u w:val="single"/>
              </w:rPr>
              <w:t xml:space="preserve">     </w:t>
            </w:r>
            <w:r>
              <w:rPr>
                <w:rFonts w:hint="eastAsia"/>
                <w:szCs w:val="21"/>
              </w:rPr>
              <w:t>年</w:t>
            </w:r>
            <w:r>
              <w:rPr>
                <w:rStyle w:val="80"/>
                <w:szCs w:val="21"/>
                <w:vertAlign w:val="superscript"/>
              </w:rPr>
              <w:footnoteReference w:id="15"/>
            </w:r>
          </w:p>
        </w:tc>
      </w:tr>
      <w:tr w14:paraId="54345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6F950867">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27</w:t>
            </w:r>
          </w:p>
        </w:tc>
        <w:tc>
          <w:tcPr>
            <w:tcW w:w="1050" w:type="dxa"/>
            <w:vAlign w:val="center"/>
          </w:tcPr>
          <w:p w14:paraId="161790FD">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20.1</w:t>
            </w:r>
          </w:p>
        </w:tc>
        <w:tc>
          <w:tcPr>
            <w:tcW w:w="7350" w:type="dxa"/>
            <w:vAlign w:val="center"/>
          </w:tcPr>
          <w:p w14:paraId="3BE35D2F">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建筑工程一切险的保险费率：</w:t>
            </w:r>
            <w:r>
              <w:rPr>
                <w:szCs w:val="21"/>
                <w:u w:val="single"/>
              </w:rPr>
              <w:t xml:space="preserve">     </w:t>
            </w:r>
            <w:r>
              <w:rPr>
                <w:szCs w:val="21"/>
              </w:rPr>
              <w:t>‰</w:t>
            </w:r>
          </w:p>
        </w:tc>
      </w:tr>
      <w:tr w14:paraId="7EC2D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7709137E">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28</w:t>
            </w:r>
          </w:p>
        </w:tc>
        <w:tc>
          <w:tcPr>
            <w:tcW w:w="1050" w:type="dxa"/>
            <w:vAlign w:val="center"/>
          </w:tcPr>
          <w:p w14:paraId="60A5E84C">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20.4.2</w:t>
            </w:r>
          </w:p>
        </w:tc>
        <w:tc>
          <w:tcPr>
            <w:tcW w:w="7350" w:type="dxa"/>
            <w:vAlign w:val="center"/>
          </w:tcPr>
          <w:p w14:paraId="518DD6D6">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第三者责任险的最低投保金额：</w:t>
            </w:r>
            <w:r>
              <w:rPr>
                <w:szCs w:val="21"/>
                <w:u w:val="single"/>
              </w:rPr>
              <w:t xml:space="preserve">     </w:t>
            </w:r>
            <w:r>
              <w:rPr>
                <w:rFonts w:hint="eastAsia"/>
                <w:szCs w:val="21"/>
              </w:rPr>
              <w:t>万元，事故次数不限（不计免赔额）</w:t>
            </w:r>
          </w:p>
          <w:p w14:paraId="032C6CDC">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保险费已含在建筑工程一切险中，不单独计量支付。</w:t>
            </w:r>
          </w:p>
        </w:tc>
      </w:tr>
      <w:tr w14:paraId="29A75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340" w:hRule="atLeast"/>
        </w:trPr>
        <w:tc>
          <w:tcPr>
            <w:tcW w:w="738" w:type="dxa"/>
            <w:vAlign w:val="center"/>
          </w:tcPr>
          <w:p w14:paraId="1B7B7D11">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29</w:t>
            </w:r>
          </w:p>
        </w:tc>
        <w:tc>
          <w:tcPr>
            <w:tcW w:w="1050" w:type="dxa"/>
            <w:vAlign w:val="center"/>
          </w:tcPr>
          <w:p w14:paraId="39F910D9">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rFonts w:hint="eastAsia"/>
                <w:szCs w:val="21"/>
              </w:rPr>
              <w:t>20.5</w:t>
            </w:r>
          </w:p>
        </w:tc>
        <w:tc>
          <w:tcPr>
            <w:tcW w:w="7350" w:type="dxa"/>
            <w:vAlign w:val="center"/>
          </w:tcPr>
          <w:p w14:paraId="3349634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rFonts w:hint="eastAsia"/>
                <w:szCs w:val="21"/>
              </w:rPr>
            </w:pPr>
            <w:r>
              <w:rPr>
                <w:rFonts w:hint="eastAsia"/>
                <w:szCs w:val="21"/>
              </w:rPr>
              <w:t>安全生产责任保险按照《企业安全生产费用提职和使用管理办法》(财资(2022)136号)文件规定执行，该费用在安全生产费用中支出，不单独计量支付。</w:t>
            </w:r>
          </w:p>
          <w:p w14:paraId="681979BE">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rFonts w:hint="eastAsia"/>
                <w:szCs w:val="21"/>
              </w:rPr>
            </w:pPr>
            <w:r>
              <w:rPr>
                <w:rFonts w:hint="eastAsia"/>
                <w:szCs w:val="21"/>
              </w:rPr>
              <w:t>工伤保险费用，依据《公路工程建设项目算预算编制办法》(JTG3830-2018)规定，在规费工伤保险费中已计职，不单独计量支付。</w:t>
            </w:r>
          </w:p>
        </w:tc>
      </w:tr>
      <w:tr w14:paraId="090C3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90" w:hRule="atLeast"/>
        </w:trPr>
        <w:tc>
          <w:tcPr>
            <w:tcW w:w="738" w:type="dxa"/>
            <w:vAlign w:val="center"/>
          </w:tcPr>
          <w:p w14:paraId="233FD08B">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rFonts w:hint="default" w:eastAsia="宋体"/>
                <w:szCs w:val="21"/>
                <w:lang w:val="en-US" w:eastAsia="zh-CN"/>
              </w:rPr>
            </w:pPr>
            <w:r>
              <w:rPr>
                <w:rFonts w:hint="eastAsia"/>
                <w:szCs w:val="21"/>
                <w:lang w:val="en-US" w:eastAsia="zh-CN"/>
              </w:rPr>
              <w:t>30</w:t>
            </w:r>
          </w:p>
        </w:tc>
        <w:tc>
          <w:tcPr>
            <w:tcW w:w="1050" w:type="dxa"/>
            <w:vAlign w:val="center"/>
          </w:tcPr>
          <w:p w14:paraId="3F004B88">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szCs w:val="21"/>
              </w:rPr>
            </w:pPr>
            <w:r>
              <w:rPr>
                <w:szCs w:val="21"/>
              </w:rPr>
              <w:t>24.1</w:t>
            </w:r>
          </w:p>
        </w:tc>
        <w:tc>
          <w:tcPr>
            <w:tcW w:w="7350" w:type="dxa"/>
            <w:vAlign w:val="center"/>
          </w:tcPr>
          <w:p w14:paraId="14A73AFC">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争议的最终解决方式：</w:t>
            </w:r>
            <w:r>
              <w:rPr>
                <w:szCs w:val="21"/>
                <w:u w:val="single"/>
              </w:rPr>
              <w:t xml:space="preserve">        </w:t>
            </w:r>
          </w:p>
          <w:p w14:paraId="59E64FA8">
            <w:pPr>
              <w:keepNext w:val="0"/>
              <w:keepLines w:val="0"/>
              <w:pageBreakBefore w:val="0"/>
              <w:widowControl w:val="0"/>
              <w:tabs>
                <w:tab w:val="left" w:pos="2790"/>
              </w:tabs>
              <w:kinsoku/>
              <w:wordWrap/>
              <w:overflowPunct/>
              <w:topLinePunct w:val="0"/>
              <w:autoSpaceDE/>
              <w:autoSpaceDN/>
              <w:bidi w:val="0"/>
              <w:adjustRightInd/>
              <w:snapToGrid/>
              <w:spacing w:line="240" w:lineRule="auto"/>
              <w:ind w:firstLine="210" w:firstLineChars="100"/>
              <w:jc w:val="left"/>
              <w:textAlignment w:val="auto"/>
              <w:rPr>
                <w:szCs w:val="21"/>
              </w:rPr>
            </w:pPr>
            <w:r>
              <w:rPr>
                <w:rFonts w:hint="eastAsia"/>
                <w:szCs w:val="21"/>
              </w:rPr>
              <w:t>如采用仲裁，仲裁委员会名称：</w:t>
            </w:r>
            <w:r>
              <w:rPr>
                <w:szCs w:val="21"/>
                <w:u w:val="single"/>
              </w:rPr>
              <w:t xml:space="preserve">                         </w:t>
            </w:r>
          </w:p>
        </w:tc>
      </w:tr>
    </w:tbl>
    <w:p w14:paraId="0FB76C56">
      <w:pPr>
        <w:tabs>
          <w:tab w:val="left" w:pos="2790"/>
        </w:tabs>
        <w:spacing w:line="360" w:lineRule="auto"/>
        <w:jc w:val="left"/>
      </w:pPr>
    </w:p>
    <w:p w14:paraId="089AB4BB">
      <w:pPr>
        <w:pStyle w:val="6"/>
        <w:spacing w:line="360" w:lineRule="auto"/>
        <w:jc w:val="center"/>
        <w:rPr>
          <w:rFonts w:ascii="Times New Roman" w:hAnsi="Times New Roman"/>
        </w:rPr>
      </w:pPr>
      <w:bookmarkStart w:id="223" w:name="_Toc154675081"/>
      <w:bookmarkStart w:id="224" w:name="_Toc30001"/>
      <w:bookmarkStart w:id="225" w:name="_Toc645"/>
      <w:r>
        <w:rPr>
          <w:rFonts w:hint="eastAsia" w:ascii="Times New Roman" w:hAnsi="Times New Roman"/>
        </w:rPr>
        <w:t>项目专用合同条款</w:t>
      </w:r>
      <w:bookmarkEnd w:id="223"/>
      <w:bookmarkEnd w:id="224"/>
      <w:bookmarkEnd w:id="225"/>
    </w:p>
    <w:p w14:paraId="74AFD70C">
      <w:pPr>
        <w:tabs>
          <w:tab w:val="left" w:pos="2790"/>
        </w:tabs>
        <w:spacing w:line="360" w:lineRule="auto"/>
        <w:rPr>
          <w:szCs w:val="21"/>
        </w:rPr>
      </w:pPr>
      <w:r>
        <w:rPr>
          <w:rFonts w:hint="eastAsia" w:eastAsia="黑体"/>
          <w:szCs w:val="21"/>
        </w:rPr>
        <w:t>说明：</w:t>
      </w:r>
      <w:r>
        <w:rPr>
          <w:rFonts w:hint="eastAsia" w:eastAsia="楷体_GB2312"/>
          <w:szCs w:val="21"/>
        </w:rPr>
        <w:t>本</w:t>
      </w:r>
      <w:r>
        <w:rPr>
          <w:rFonts w:eastAsia="楷体_GB2312"/>
          <w:szCs w:val="21"/>
        </w:rPr>
        <w:t>“</w:t>
      </w:r>
      <w:r>
        <w:rPr>
          <w:rFonts w:hint="eastAsia" w:eastAsia="楷体_GB2312"/>
          <w:szCs w:val="21"/>
        </w:rPr>
        <w:t>项目专用合同条款</w:t>
      </w:r>
      <w:r>
        <w:rPr>
          <w:rFonts w:eastAsia="楷体_GB2312"/>
          <w:szCs w:val="21"/>
        </w:rPr>
        <w:t>”</w:t>
      </w:r>
      <w:r>
        <w:rPr>
          <w:rFonts w:hint="eastAsia" w:eastAsia="楷体_GB2312"/>
          <w:szCs w:val="21"/>
        </w:rPr>
        <w:t>根据本项目的特点和实际需要，是对</w:t>
      </w:r>
      <w:r>
        <w:rPr>
          <w:rFonts w:eastAsia="楷体_GB2312"/>
          <w:szCs w:val="21"/>
        </w:rPr>
        <w:t>“</w:t>
      </w:r>
      <w:r>
        <w:rPr>
          <w:rFonts w:hint="eastAsia" w:eastAsia="楷体_GB2312"/>
          <w:szCs w:val="21"/>
        </w:rPr>
        <w:t>通用合同条款</w:t>
      </w:r>
      <w:r>
        <w:rPr>
          <w:rFonts w:eastAsia="楷体_GB2312"/>
          <w:szCs w:val="21"/>
        </w:rPr>
        <w:t>”</w:t>
      </w:r>
      <w:r>
        <w:rPr>
          <w:rFonts w:hint="eastAsia" w:eastAsia="楷体_GB2312"/>
          <w:szCs w:val="21"/>
        </w:rPr>
        <w:t>、</w:t>
      </w:r>
      <w:r>
        <w:rPr>
          <w:rFonts w:eastAsia="楷体_GB2312"/>
          <w:szCs w:val="21"/>
        </w:rPr>
        <w:t>“</w:t>
      </w:r>
      <w:r>
        <w:rPr>
          <w:rFonts w:hint="eastAsia" w:eastAsia="楷体_GB2312"/>
          <w:szCs w:val="21"/>
        </w:rPr>
        <w:t>公路工程专用合同条款</w:t>
      </w:r>
      <w:r>
        <w:rPr>
          <w:rFonts w:eastAsia="楷体_GB2312"/>
          <w:szCs w:val="21"/>
        </w:rPr>
        <w:t>”</w:t>
      </w:r>
      <w:r>
        <w:rPr>
          <w:rFonts w:hint="eastAsia" w:eastAsia="楷体_GB2312"/>
          <w:szCs w:val="21"/>
        </w:rPr>
        <w:t>的补充、细化或约定，应对照</w:t>
      </w:r>
      <w:r>
        <w:rPr>
          <w:rFonts w:eastAsia="楷体_GB2312"/>
          <w:szCs w:val="21"/>
        </w:rPr>
        <w:t>“</w:t>
      </w:r>
      <w:r>
        <w:rPr>
          <w:rFonts w:hint="eastAsia" w:eastAsia="楷体_GB2312"/>
          <w:szCs w:val="21"/>
        </w:rPr>
        <w:t>通用合同条款</w:t>
      </w:r>
      <w:r>
        <w:rPr>
          <w:rFonts w:eastAsia="楷体_GB2312"/>
          <w:szCs w:val="21"/>
        </w:rPr>
        <w:t>”</w:t>
      </w:r>
      <w:r>
        <w:rPr>
          <w:rFonts w:hint="eastAsia" w:eastAsia="楷体_GB2312"/>
          <w:szCs w:val="21"/>
        </w:rPr>
        <w:t>、</w:t>
      </w:r>
      <w:r>
        <w:rPr>
          <w:rFonts w:eastAsia="楷体_GB2312"/>
          <w:szCs w:val="21"/>
        </w:rPr>
        <w:t>“</w:t>
      </w:r>
      <w:r>
        <w:rPr>
          <w:rFonts w:hint="eastAsia" w:eastAsia="楷体_GB2312"/>
          <w:szCs w:val="21"/>
        </w:rPr>
        <w:t>公路工程专用合同条款</w:t>
      </w:r>
      <w:r>
        <w:rPr>
          <w:rFonts w:eastAsia="楷体_GB2312"/>
          <w:szCs w:val="21"/>
        </w:rPr>
        <w:t>”</w:t>
      </w:r>
      <w:r>
        <w:rPr>
          <w:rFonts w:hint="eastAsia" w:eastAsia="楷体_GB2312"/>
          <w:szCs w:val="21"/>
        </w:rPr>
        <w:t>中同一编号的条款一起阅读和理解。</w:t>
      </w:r>
    </w:p>
    <w:p w14:paraId="137CF400">
      <w:pPr>
        <w:tabs>
          <w:tab w:val="left" w:pos="2790"/>
        </w:tabs>
        <w:spacing w:line="360" w:lineRule="auto"/>
        <w:rPr>
          <w:szCs w:val="21"/>
        </w:rPr>
      </w:pPr>
    </w:p>
    <w:p w14:paraId="2C770778">
      <w:pPr>
        <w:tabs>
          <w:tab w:val="left" w:pos="2790"/>
        </w:tabs>
        <w:spacing w:line="360" w:lineRule="auto"/>
        <w:outlineLvl w:val="3"/>
        <w:rPr>
          <w:rFonts w:hint="eastAsia" w:ascii="宋体" w:hAnsi="宋体" w:eastAsia="宋体" w:cs="宋体"/>
          <w:sz w:val="21"/>
          <w:szCs w:val="21"/>
        </w:rPr>
      </w:pPr>
      <w:bookmarkStart w:id="226" w:name="_Toc15992"/>
      <w:bookmarkStart w:id="227" w:name="_Toc154675082"/>
      <w:r>
        <w:rPr>
          <w:rFonts w:hint="eastAsia" w:ascii="宋体" w:hAnsi="宋体" w:eastAsia="宋体" w:cs="宋体"/>
          <w:sz w:val="21"/>
          <w:szCs w:val="21"/>
        </w:rPr>
        <w:t>1. 一般约定</w:t>
      </w:r>
      <w:bookmarkEnd w:id="226"/>
      <w:bookmarkEnd w:id="227"/>
    </w:p>
    <w:p w14:paraId="2DC1CEC4">
      <w:pPr>
        <w:tabs>
          <w:tab w:val="left" w:pos="2790"/>
        </w:tabs>
        <w:spacing w:line="360" w:lineRule="auto"/>
        <w:outlineLvl w:val="4"/>
        <w:rPr>
          <w:rFonts w:hint="eastAsia" w:ascii="宋体" w:hAnsi="宋体" w:eastAsia="宋体" w:cs="宋体"/>
          <w:sz w:val="21"/>
          <w:szCs w:val="21"/>
        </w:rPr>
      </w:pPr>
      <w:bookmarkStart w:id="228" w:name="_Toc154675083"/>
      <w:r>
        <w:rPr>
          <w:rFonts w:hint="eastAsia" w:ascii="宋体" w:hAnsi="宋体" w:eastAsia="宋体" w:cs="宋体"/>
          <w:sz w:val="21"/>
          <w:szCs w:val="21"/>
        </w:rPr>
        <w:t>1.1  词语定义</w:t>
      </w:r>
      <w:bookmarkEnd w:id="228"/>
    </w:p>
    <w:p w14:paraId="5AF2D3B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  合同</w:t>
      </w:r>
    </w:p>
    <w:p w14:paraId="04307DF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第1.1.1.8目细化为：</w:t>
      </w:r>
    </w:p>
    <w:p w14:paraId="67E5594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1.1.1.8已标价工程量清单：指构成合同文件组成部分的已标明价格、经算术性错误修正及其他错误修正（如有）且承包人已确认的最终的工程量清单。</w:t>
      </w:r>
    </w:p>
    <w:p w14:paraId="36A458B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合同当事人和人员</w:t>
      </w:r>
    </w:p>
    <w:p w14:paraId="1E6827F1">
      <w:pPr>
        <w:tabs>
          <w:tab w:val="left" w:pos="2790"/>
        </w:tabs>
        <w:spacing w:line="360" w:lineRule="auto"/>
        <w:ind w:firstLine="420" w:firstLineChars="200"/>
        <w:rPr>
          <w:rFonts w:hint="eastAsia" w:ascii="宋体" w:hAnsi="宋体"/>
          <w:b w:val="0"/>
          <w:bCs w:val="0"/>
          <w:szCs w:val="21"/>
        </w:rPr>
      </w:pPr>
      <w:r>
        <w:rPr>
          <w:rFonts w:hint="eastAsia" w:ascii="宋体" w:hAnsi="宋体"/>
          <w:b w:val="0"/>
          <w:bCs w:val="0"/>
          <w:szCs w:val="21"/>
        </w:rPr>
        <w:t>1.1.2.2目细化为：</w:t>
      </w:r>
    </w:p>
    <w:p w14:paraId="1CD11A13">
      <w:pPr>
        <w:tabs>
          <w:tab w:val="left" w:pos="2790"/>
        </w:tabs>
        <w:spacing w:line="360" w:lineRule="auto"/>
        <w:ind w:firstLine="420" w:firstLineChars="200"/>
        <w:rPr>
          <w:rFonts w:hint="eastAsia" w:ascii="宋体" w:hAnsi="宋体"/>
          <w:szCs w:val="21"/>
        </w:rPr>
      </w:pPr>
      <w:r>
        <w:rPr>
          <w:rFonts w:hint="eastAsia" w:ascii="宋体" w:hAnsi="宋体"/>
          <w:szCs w:val="21"/>
        </w:rPr>
        <w:t>本项目</w:t>
      </w:r>
      <w:r>
        <w:rPr>
          <w:rFonts w:hint="eastAsia" w:ascii="宋体" w:hAnsi="宋体" w:eastAsia="宋体" w:cs="宋体"/>
          <w:sz w:val="21"/>
          <w:szCs w:val="21"/>
        </w:rPr>
        <w:t>建设</w:t>
      </w:r>
      <w:r>
        <w:rPr>
          <w:rFonts w:hint="eastAsia" w:ascii="宋体" w:hAnsi="宋体"/>
          <w:szCs w:val="21"/>
        </w:rPr>
        <w:t>单位（发包人）为</w:t>
      </w:r>
      <w:r>
        <w:rPr>
          <w:rFonts w:hint="eastAsia" w:ascii="宋体" w:hAnsi="宋体"/>
          <w:b/>
          <w:bCs/>
          <w:szCs w:val="21"/>
          <w:u w:val="single"/>
          <w:lang w:val="en-US" w:eastAsia="zh-CN"/>
        </w:rPr>
        <w:t xml:space="preserve">      </w:t>
      </w:r>
      <w:r>
        <w:rPr>
          <w:rFonts w:hint="eastAsia" w:ascii="宋体" w:hAnsi="宋体"/>
          <w:szCs w:val="21"/>
        </w:rPr>
        <w:t>，负责本项目的建设管理和</w:t>
      </w:r>
      <w:r>
        <w:rPr>
          <w:rFonts w:hint="eastAsia" w:ascii="宋体" w:hAnsi="宋体"/>
          <w:szCs w:val="21"/>
          <w:lang w:eastAsia="zh-CN"/>
        </w:rPr>
        <w:t>发包</w:t>
      </w:r>
      <w:r>
        <w:rPr>
          <w:rFonts w:hint="eastAsia" w:ascii="宋体" w:hAnsi="宋体"/>
          <w:szCs w:val="21"/>
        </w:rPr>
        <w:t>采购事宜，并与承包人在合同协议书中签字的当事人。</w:t>
      </w:r>
    </w:p>
    <w:p w14:paraId="5C0BD7B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第1.1.2.8目细化为：</w:t>
      </w:r>
    </w:p>
    <w:p w14:paraId="4AC9173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1.1.2.8 承包人项目技术负责人：指由承包人书面委派常驻现场负责管理本合同工程的总工程师或技术总负责人，与公路工程专用合同条款中的承包人项目总工具有相同的含义。</w:t>
      </w:r>
    </w:p>
    <w:p w14:paraId="71A74A3D">
      <w:pPr>
        <w:tabs>
          <w:tab w:val="left" w:pos="2790"/>
        </w:tabs>
        <w:spacing w:line="360" w:lineRule="auto"/>
        <w:outlineLvl w:val="4"/>
        <w:rPr>
          <w:rFonts w:hint="eastAsia" w:ascii="宋体" w:hAnsi="宋体" w:eastAsia="宋体" w:cs="宋体"/>
          <w:sz w:val="21"/>
          <w:szCs w:val="21"/>
        </w:rPr>
      </w:pPr>
      <w:bookmarkStart w:id="229" w:name="_Toc154675084"/>
      <w:r>
        <w:rPr>
          <w:rFonts w:hint="eastAsia" w:ascii="宋体" w:hAnsi="宋体" w:eastAsia="宋体" w:cs="宋体"/>
          <w:sz w:val="21"/>
          <w:szCs w:val="21"/>
        </w:rPr>
        <w:t>1.4  合同文件的优先顺序</w:t>
      </w:r>
      <w:bookmarkEnd w:id="229"/>
    </w:p>
    <w:p w14:paraId="68E595D6">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第1.4款约定为：</w:t>
      </w:r>
    </w:p>
    <w:p w14:paraId="76716331">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组成合同的各项文件应互相解释，互为说明。解释合同文件的优先顺序如下：</w:t>
      </w:r>
    </w:p>
    <w:p w14:paraId="52334858">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（1）合同协议书及各种合同附件（含廉政合同、安全生产合同、工程质量责任合同、工程资金监管协议及评标期间和合同谈判过程中的澄清文件和补充资料）；</w:t>
      </w:r>
    </w:p>
    <w:p w14:paraId="47ABFE28">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预承包</w:t>
      </w:r>
      <w:r>
        <w:rPr>
          <w:rFonts w:hint="eastAsia" w:ascii="宋体" w:hAnsi="宋体" w:eastAsia="宋体" w:cs="宋体"/>
          <w:sz w:val="21"/>
          <w:szCs w:val="21"/>
        </w:rPr>
        <w:t>通知书；</w:t>
      </w:r>
    </w:p>
    <w:p w14:paraId="6E4B3100">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竞包</w:t>
      </w:r>
      <w:r>
        <w:rPr>
          <w:rFonts w:hint="eastAsia" w:ascii="宋体" w:hAnsi="宋体" w:eastAsia="宋体" w:cs="宋体"/>
          <w:sz w:val="21"/>
          <w:szCs w:val="21"/>
        </w:rPr>
        <w:t>函及</w:t>
      </w:r>
      <w:r>
        <w:rPr>
          <w:rFonts w:hint="eastAsia" w:ascii="宋体" w:hAnsi="宋体" w:eastAsia="宋体" w:cs="宋体"/>
          <w:sz w:val="21"/>
          <w:szCs w:val="21"/>
          <w:lang w:eastAsia="zh-CN"/>
        </w:rPr>
        <w:t>竞包</w:t>
      </w:r>
      <w:r>
        <w:rPr>
          <w:rFonts w:hint="eastAsia" w:ascii="宋体" w:hAnsi="宋体" w:eastAsia="宋体" w:cs="宋体"/>
          <w:sz w:val="21"/>
          <w:szCs w:val="21"/>
        </w:rPr>
        <w:t>函附录；</w:t>
      </w:r>
    </w:p>
    <w:p w14:paraId="7C5E436B">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（4）项目专用合同条款（含</w:t>
      </w:r>
      <w:r>
        <w:rPr>
          <w:rFonts w:hint="eastAsia" w:ascii="宋体" w:hAnsi="宋体" w:eastAsia="宋体" w:cs="宋体"/>
          <w:sz w:val="21"/>
          <w:szCs w:val="21"/>
          <w:lang w:eastAsia="zh-CN"/>
        </w:rPr>
        <w:t>发包文件</w:t>
      </w:r>
      <w:r>
        <w:rPr>
          <w:rFonts w:hint="eastAsia" w:ascii="宋体" w:hAnsi="宋体" w:eastAsia="宋体" w:cs="宋体"/>
          <w:sz w:val="21"/>
          <w:szCs w:val="21"/>
        </w:rPr>
        <w:t>补遗书中与此有关的部分）；</w:t>
      </w:r>
    </w:p>
    <w:p w14:paraId="17D766A5">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（5）公路工程专用合同条款；</w:t>
      </w:r>
    </w:p>
    <w:p w14:paraId="5EEF93C9">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（6）通用合同条款；</w:t>
      </w:r>
    </w:p>
    <w:p w14:paraId="33C900C2">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（7）工程量清单计量规则（含</w:t>
      </w:r>
      <w:r>
        <w:rPr>
          <w:rFonts w:hint="eastAsia" w:ascii="宋体" w:hAnsi="宋体" w:eastAsia="宋体" w:cs="宋体"/>
          <w:sz w:val="21"/>
          <w:szCs w:val="21"/>
          <w:lang w:eastAsia="zh-CN"/>
        </w:rPr>
        <w:t>发包文件</w:t>
      </w:r>
      <w:r>
        <w:rPr>
          <w:rFonts w:hint="eastAsia" w:ascii="宋体" w:hAnsi="宋体" w:eastAsia="宋体" w:cs="宋体"/>
          <w:sz w:val="21"/>
          <w:szCs w:val="21"/>
        </w:rPr>
        <w:t>补遗书中与此有关的部分）；</w:t>
      </w:r>
    </w:p>
    <w:p w14:paraId="0DAE144D">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（8）项目专用技术规范（含</w:t>
      </w:r>
      <w:r>
        <w:rPr>
          <w:rFonts w:hint="eastAsia" w:ascii="宋体" w:hAnsi="宋体" w:eastAsia="宋体" w:cs="宋体"/>
          <w:sz w:val="21"/>
          <w:szCs w:val="21"/>
          <w:lang w:eastAsia="zh-CN"/>
        </w:rPr>
        <w:t>发包文件</w:t>
      </w:r>
      <w:r>
        <w:rPr>
          <w:rFonts w:hint="eastAsia" w:ascii="宋体" w:hAnsi="宋体" w:eastAsia="宋体" w:cs="宋体"/>
          <w:sz w:val="21"/>
          <w:szCs w:val="21"/>
        </w:rPr>
        <w:t>补遗书中与此有关的部分）；</w:t>
      </w:r>
    </w:p>
    <w:p w14:paraId="7DC49718">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（9）通用技术规范；</w:t>
      </w:r>
    </w:p>
    <w:p w14:paraId="34BA589F">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（10）图纸（含</w:t>
      </w:r>
      <w:r>
        <w:rPr>
          <w:rFonts w:hint="eastAsia" w:ascii="宋体" w:hAnsi="宋体" w:eastAsia="宋体" w:cs="宋体"/>
          <w:sz w:val="21"/>
          <w:szCs w:val="21"/>
          <w:lang w:eastAsia="zh-CN"/>
        </w:rPr>
        <w:t>发包文件</w:t>
      </w:r>
      <w:r>
        <w:rPr>
          <w:rFonts w:hint="eastAsia" w:ascii="宋体" w:hAnsi="宋体" w:eastAsia="宋体" w:cs="宋体"/>
          <w:sz w:val="21"/>
          <w:szCs w:val="21"/>
        </w:rPr>
        <w:t>补遗书中与此有关的部分）；</w:t>
      </w:r>
    </w:p>
    <w:p w14:paraId="0ED6E2BB">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发包控制价</w:t>
      </w:r>
      <w:r>
        <w:rPr>
          <w:rFonts w:hint="eastAsia" w:ascii="宋体" w:hAnsi="宋体" w:eastAsia="宋体" w:cs="宋体"/>
          <w:sz w:val="21"/>
          <w:szCs w:val="21"/>
        </w:rPr>
        <w:t>；</w:t>
      </w:r>
    </w:p>
    <w:p w14:paraId="6AA31FF5">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（12）承包人有关人员、设备投入、财务能力的承诺及</w:t>
      </w:r>
      <w:r>
        <w:rPr>
          <w:rFonts w:hint="eastAsia" w:ascii="宋体" w:hAnsi="宋体" w:eastAsia="宋体" w:cs="宋体"/>
          <w:sz w:val="21"/>
          <w:szCs w:val="21"/>
          <w:lang w:eastAsia="zh-CN"/>
        </w:rPr>
        <w:t>竞包</w:t>
      </w:r>
      <w:r>
        <w:rPr>
          <w:rFonts w:hint="eastAsia" w:ascii="宋体" w:hAnsi="宋体" w:eastAsia="宋体" w:cs="宋体"/>
          <w:sz w:val="21"/>
          <w:szCs w:val="21"/>
        </w:rPr>
        <w:t>文件中的施工组织设计；</w:t>
      </w:r>
    </w:p>
    <w:p w14:paraId="650ED02C">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（13）其他合同文件。</w:t>
      </w:r>
    </w:p>
    <w:p w14:paraId="3BD76A0A">
      <w:pPr>
        <w:tabs>
          <w:tab w:val="left" w:pos="2790"/>
        </w:tabs>
        <w:spacing w:line="360" w:lineRule="auto"/>
        <w:outlineLvl w:val="3"/>
        <w:rPr>
          <w:rFonts w:hint="eastAsia" w:ascii="宋体" w:hAnsi="宋体" w:eastAsia="宋体" w:cs="宋体"/>
          <w:sz w:val="21"/>
          <w:szCs w:val="21"/>
        </w:rPr>
      </w:pPr>
      <w:bookmarkStart w:id="230" w:name="_Toc154675085"/>
      <w:bookmarkStart w:id="231" w:name="_Toc458406024"/>
      <w:bookmarkStart w:id="232" w:name="_Toc30342"/>
      <w:bookmarkStart w:id="233" w:name="_Toc247643360"/>
      <w:bookmarkStart w:id="234" w:name="_Toc19000"/>
      <w:bookmarkStart w:id="235" w:name="_Toc21308"/>
      <w:bookmarkStart w:id="236" w:name="_Toc28467"/>
      <w:bookmarkStart w:id="237" w:name="_Toc247643366"/>
      <w:bookmarkStart w:id="238" w:name="_Toc179632648"/>
      <w:bookmarkStart w:id="239" w:name="_Toc144974598"/>
      <w:bookmarkStart w:id="240" w:name="_Toc13841"/>
      <w:bookmarkStart w:id="241" w:name="_Toc152045630"/>
      <w:bookmarkStart w:id="242" w:name="_Toc2053"/>
      <w:bookmarkStart w:id="243" w:name="_Toc152042408"/>
      <w:bookmarkStart w:id="244" w:name="_Toc19985"/>
      <w:bookmarkStart w:id="245" w:name="_Toc458406030"/>
      <w:r>
        <w:rPr>
          <w:rFonts w:hint="eastAsia" w:ascii="宋体" w:hAnsi="宋体" w:eastAsia="宋体" w:cs="宋体"/>
          <w:sz w:val="21"/>
          <w:szCs w:val="21"/>
        </w:rPr>
        <w:t>2. 发包人义务</w:t>
      </w:r>
      <w:bookmarkEnd w:id="230"/>
      <w:bookmarkEnd w:id="231"/>
      <w:bookmarkEnd w:id="232"/>
      <w:bookmarkEnd w:id="233"/>
      <w:bookmarkEnd w:id="234"/>
      <w:bookmarkEnd w:id="235"/>
      <w:bookmarkEnd w:id="236"/>
    </w:p>
    <w:bookmarkEnd w:id="237"/>
    <w:bookmarkEnd w:id="238"/>
    <w:bookmarkEnd w:id="239"/>
    <w:bookmarkEnd w:id="240"/>
    <w:bookmarkEnd w:id="241"/>
    <w:bookmarkEnd w:id="242"/>
    <w:bookmarkEnd w:id="243"/>
    <w:bookmarkEnd w:id="244"/>
    <w:bookmarkEnd w:id="245"/>
    <w:p w14:paraId="16813085">
      <w:pPr>
        <w:tabs>
          <w:tab w:val="left" w:pos="2790"/>
        </w:tabs>
        <w:spacing w:line="360" w:lineRule="auto"/>
        <w:outlineLvl w:val="4"/>
        <w:rPr>
          <w:rFonts w:hint="eastAsia" w:ascii="宋体" w:hAnsi="宋体" w:eastAsia="宋体" w:cs="宋体"/>
          <w:sz w:val="21"/>
          <w:szCs w:val="21"/>
        </w:rPr>
      </w:pPr>
      <w:bookmarkStart w:id="246" w:name="_Toc154675086"/>
      <w:bookmarkStart w:id="247" w:name="_Toc179632650"/>
      <w:bookmarkStart w:id="248" w:name="_Toc447719696"/>
      <w:bookmarkStart w:id="249" w:name="_Toc152042410"/>
      <w:bookmarkStart w:id="250" w:name="_Toc240967055"/>
      <w:bookmarkStart w:id="251" w:name="_Toc144974600"/>
      <w:bookmarkStart w:id="252" w:name="_Toc152045632"/>
      <w:r>
        <w:rPr>
          <w:rFonts w:hint="eastAsia" w:ascii="宋体" w:hAnsi="宋体" w:eastAsia="宋体" w:cs="宋体"/>
          <w:sz w:val="21"/>
          <w:szCs w:val="21"/>
        </w:rPr>
        <w:t>2.6 支付合同价款</w:t>
      </w:r>
      <w:bookmarkEnd w:id="246"/>
    </w:p>
    <w:p w14:paraId="6649DBA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w:t>
      </w:r>
    </w:p>
    <w:p w14:paraId="0E1BEB8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发包人将按照合同约定的比例，将应支付工程款中的人工费单独拨付到承包人项目所在地开设的农民工工资（劳务费）专用账户。人工费比例为：_______。</w:t>
      </w:r>
      <w:r>
        <w:rPr>
          <w:rStyle w:val="80"/>
          <w:rFonts w:hint="eastAsia" w:ascii="宋体" w:hAnsi="宋体" w:eastAsia="宋体" w:cs="宋体"/>
          <w:sz w:val="21"/>
          <w:szCs w:val="21"/>
          <w:vertAlign w:val="superscript"/>
        </w:rPr>
        <w:footnoteReference w:id="16"/>
      </w:r>
    </w:p>
    <w:p w14:paraId="18DE4CC3">
      <w:pPr>
        <w:tabs>
          <w:tab w:val="left" w:pos="2790"/>
        </w:tabs>
        <w:spacing w:line="360" w:lineRule="auto"/>
        <w:outlineLvl w:val="4"/>
        <w:rPr>
          <w:rFonts w:hint="eastAsia" w:ascii="宋体" w:hAnsi="宋体" w:eastAsia="宋体" w:cs="宋体"/>
          <w:sz w:val="21"/>
          <w:szCs w:val="21"/>
        </w:rPr>
      </w:pPr>
      <w:bookmarkStart w:id="253" w:name="_Toc154675087"/>
      <w:r>
        <w:rPr>
          <w:rFonts w:hint="eastAsia" w:ascii="宋体" w:hAnsi="宋体" w:eastAsia="宋体" w:cs="宋体"/>
          <w:sz w:val="21"/>
          <w:szCs w:val="21"/>
        </w:rPr>
        <w:t>2.8 其他义务</w:t>
      </w:r>
      <w:bookmarkEnd w:id="247"/>
      <w:bookmarkEnd w:id="248"/>
      <w:bookmarkEnd w:id="249"/>
      <w:bookmarkEnd w:id="250"/>
      <w:bookmarkEnd w:id="251"/>
      <w:bookmarkEnd w:id="252"/>
      <w:bookmarkEnd w:id="253"/>
    </w:p>
    <w:p w14:paraId="5C28754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w:t>
      </w:r>
    </w:p>
    <w:p w14:paraId="232B7BD8">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要求承包人提供履约保证金的，发包人应向承包人提交和履约保证金对等金额的支付担保。发包人应在签署合同协议书后28天内，按照金额和条件对等的原则，按</w:t>
      </w:r>
      <w:r>
        <w:rPr>
          <w:rFonts w:hint="eastAsia" w:ascii="宋体" w:hAnsi="宋体" w:eastAsia="宋体" w:cs="宋体"/>
          <w:sz w:val="21"/>
          <w:szCs w:val="21"/>
          <w:lang w:eastAsia="zh-CN"/>
        </w:rPr>
        <w:t>发包文件</w:t>
      </w:r>
      <w:r>
        <w:rPr>
          <w:rFonts w:hint="eastAsia" w:ascii="宋体" w:hAnsi="宋体" w:eastAsia="宋体" w:cs="宋体"/>
          <w:sz w:val="21"/>
          <w:szCs w:val="21"/>
        </w:rPr>
        <w:t>规定的格式或者其他经承包人事先认可的格式向承包人提交一份支付担保。支付担保的有效期同履约保证金。支付担保应在发包人付清交工付款之后28天内退还给发包人，承包人不承担发包人与支付担保有关的任何利息或其他费用或收益。</w:t>
      </w:r>
    </w:p>
    <w:p w14:paraId="38C66C08">
      <w:pPr>
        <w:tabs>
          <w:tab w:val="left" w:pos="2790"/>
        </w:tabs>
        <w:spacing w:line="360" w:lineRule="auto"/>
        <w:outlineLvl w:val="3"/>
        <w:rPr>
          <w:rFonts w:hint="eastAsia" w:ascii="宋体" w:hAnsi="宋体" w:eastAsia="宋体" w:cs="宋体"/>
          <w:sz w:val="21"/>
          <w:szCs w:val="21"/>
        </w:rPr>
      </w:pPr>
      <w:bookmarkStart w:id="254" w:name="_Toc1626"/>
      <w:bookmarkStart w:id="255" w:name="_Toc154675088"/>
      <w:r>
        <w:rPr>
          <w:rFonts w:hint="eastAsia" w:ascii="宋体" w:hAnsi="宋体" w:eastAsia="宋体" w:cs="宋体"/>
          <w:sz w:val="21"/>
          <w:szCs w:val="21"/>
        </w:rPr>
        <w:t>4. 承包人</w:t>
      </w:r>
      <w:bookmarkEnd w:id="254"/>
      <w:bookmarkEnd w:id="255"/>
    </w:p>
    <w:p w14:paraId="3B8E038B">
      <w:pPr>
        <w:tabs>
          <w:tab w:val="left" w:pos="2790"/>
        </w:tabs>
        <w:spacing w:line="360" w:lineRule="auto"/>
        <w:outlineLvl w:val="4"/>
        <w:rPr>
          <w:rFonts w:hint="eastAsia" w:ascii="宋体" w:hAnsi="宋体" w:eastAsia="宋体" w:cs="宋体"/>
          <w:sz w:val="21"/>
          <w:szCs w:val="21"/>
        </w:rPr>
      </w:pPr>
      <w:bookmarkStart w:id="256" w:name="_Toc154675089"/>
      <w:r>
        <w:rPr>
          <w:rFonts w:hint="eastAsia" w:ascii="宋体" w:hAnsi="宋体" w:eastAsia="宋体" w:cs="宋体"/>
          <w:sz w:val="21"/>
          <w:szCs w:val="21"/>
        </w:rPr>
        <w:t>4.1  承包人的一般义务</w:t>
      </w:r>
      <w:bookmarkEnd w:id="256"/>
    </w:p>
    <w:p w14:paraId="728BE9D8">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4.1.3  完成各项承包工作</w:t>
      </w:r>
    </w:p>
    <w:p w14:paraId="2654FDC8">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w:t>
      </w:r>
    </w:p>
    <w:p w14:paraId="2CDF33C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承包人应在签订合同协议书后14天内为本合同实施设立现场项目经理部，该项目经理部应成为承包人授权的代理人或代表的合法机构，承包人应保证该项目经理部履行职责直至合同期满为止。</w:t>
      </w:r>
    </w:p>
    <w:p w14:paraId="2A56CB0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4.1.10  其他义务</w:t>
      </w:r>
    </w:p>
    <w:p w14:paraId="5BD1D9F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本项第（2）目细化为：</w:t>
      </w:r>
    </w:p>
    <w:p w14:paraId="674AE2B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96D250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发包人协助办理的成功与否，不免除根据合同文件规定的承包人的一切责任。</w:t>
      </w:r>
    </w:p>
    <w:p w14:paraId="2100A67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本项第（3）目细化为：</w:t>
      </w:r>
    </w:p>
    <w:p w14:paraId="7374643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在本工程中，应严格执行国家、浙江省及项目所在地政府有关拖欠工程款和农民工工资相关法律法规及规定，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浙江省交通运输信用综合管理服务系统。</w:t>
      </w:r>
    </w:p>
    <w:p w14:paraId="5968FD9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的项目经理部是民工工资支付行为的主体，承包人的项目经理是民工工资支付的责任人。项目经理部要建立全体民工花名册和工资支付表（包含分包单位），确保将工资直接发放给民工本人，或委托银行发放民工工资，严禁发放给“包工头”或其他不具备用工主体资格的组织和个人。工资支付表应如实记录支付单位、支付时间、支付对象、支付数额、支付对象的身份证号和签字等信息。民工花名册和工资支付表应报监理人备查。</w:t>
      </w:r>
    </w:p>
    <w:p w14:paraId="28D5AB1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承包人应按规定缴纳农民工工资保证金。</w:t>
      </w:r>
    </w:p>
    <w:p w14:paraId="5DC32D1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承包人应在用工后 15 天内与农民工签订劳动合同，根据劳动合同签订情况，统计农民工人数，按照实际人数办理记工考勤卡。项目完工后或农民工提前离开工地，承包人应在合同约定期限之内对农民工工资进行结算，并一次性付清所有应发放的工资。同时承包人应在项目经理部和新闻媒介上分阶段公示民工工资支付情况，并公开2个监督电话（电话为当地交通主管部门和劳动保障部门等第三方单位可打通的号码），公示期符合相关规定。承包人应加强劳动合同管理，规范公路建设用工行为。不拖欠农民工工资，及时、足额发放农民工工资。</w:t>
      </w:r>
    </w:p>
    <w:p w14:paraId="44F77FD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本项第（6）目细化为：</w:t>
      </w:r>
    </w:p>
    <w:p w14:paraId="4325833A">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 承包人应按照浙江省交通运输厅《浙江省高速公路建设工程标准化工地管理规定》、《关于印发浙江省深化高速公路施工标准化活动实施方案的通知》、《浙江省交通建设工程平安工地建设管理实施办法》、交通运输部《关于开展高速公路施工标准化活动的通知》、《高速公路施工标准化技术指南》和《关于开展公路水运工程“平安工地”考核评价工作的通知》等相关部门的要求进行工地标准化、施工标准化和管理标准化建设和安全、文明施工。</w:t>
      </w:r>
      <w:r>
        <w:rPr>
          <w:rStyle w:val="80"/>
          <w:rFonts w:hint="eastAsia" w:ascii="宋体" w:hAnsi="宋体" w:eastAsia="宋体" w:cs="宋体"/>
          <w:sz w:val="21"/>
          <w:szCs w:val="21"/>
          <w:vertAlign w:val="superscript"/>
        </w:rPr>
        <w:footnoteReference w:id="17"/>
      </w:r>
    </w:p>
    <w:p w14:paraId="01E5268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按照浙江省交通运输厅《关于印发浙江省普通国省道公路建设工程标准化工地建设管理和考核办法（试行）的通知》、《浙江省交通建设工程平安工地建设管理实施办法》和交通运输部《关于开展公路水运工程“平安工地”考核评价工作的通知》等相关部门的要求进行工地标准化、施工标准化和管理标准化建设和安全、文明施工。</w:t>
      </w:r>
      <w:r>
        <w:rPr>
          <w:rStyle w:val="80"/>
          <w:rFonts w:hint="eastAsia" w:ascii="宋体" w:hAnsi="宋体" w:eastAsia="宋体" w:cs="宋体"/>
          <w:sz w:val="21"/>
          <w:szCs w:val="21"/>
          <w:vertAlign w:val="superscript"/>
        </w:rPr>
        <w:footnoteReference w:id="18"/>
      </w:r>
    </w:p>
    <w:p w14:paraId="2504560F">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本项补充第（7）～（19）目：</w:t>
      </w:r>
    </w:p>
    <w:p w14:paraId="70B4DCC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（7）项目审计（含跟踪审计）、稽查和检查等的配合</w:t>
      </w:r>
    </w:p>
    <w:p w14:paraId="13FC7D4F">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a.与本工程项目相关的审计和稽查，承包人应高度重视并委派专人积极予以配合；</w:t>
      </w:r>
    </w:p>
    <w:p w14:paraId="5D80C88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b.有关单位对本项目的各种检查等活动，承包人有义务予以积极配合开展各项工作；</w:t>
      </w:r>
    </w:p>
    <w:p w14:paraId="431AA22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c.本工程项目有关的各类统计报表、汇报材料包括交（竣）工验收和项目后评价报告等，承包人有义务配合发包人做好编制工作并提供相应的资料；</w:t>
      </w:r>
    </w:p>
    <w:p w14:paraId="74E1430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d.承包人应按发包人、监理人和有关文件要求，建立相应的计量、支付和变更台账，同时承包人应配合发包人、监理人建立相应的台账，并保持其持续有效直至工程决算完成。</w:t>
      </w:r>
    </w:p>
    <w:p w14:paraId="0DDBF95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（8）与第三方检测、监控、科研单位的配合</w:t>
      </w:r>
    </w:p>
    <w:p w14:paraId="4E46BC8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pacing w:val="-2"/>
          <w:sz w:val="21"/>
          <w:szCs w:val="21"/>
        </w:rPr>
        <w:t>承包人必须积极配合、协助第三方检测、监控、科研等单位的工作，委派专人做好配合工作</w:t>
      </w:r>
      <w:r>
        <w:rPr>
          <w:rFonts w:hint="eastAsia" w:ascii="宋体" w:hAnsi="宋体" w:eastAsia="宋体" w:cs="宋体"/>
          <w:sz w:val="21"/>
          <w:szCs w:val="21"/>
        </w:rPr>
        <w:t>。</w:t>
      </w:r>
    </w:p>
    <w:p w14:paraId="759225C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b.承包人应熟悉第三方检测、监控、科研等单位的检测、监控、科研实施方案和流程，配合工作也应有相应的方案，该方案须经监理人审批同意；</w:t>
      </w:r>
    </w:p>
    <w:p w14:paraId="77FC78C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c.施工检测、监控、科研过程中，应在监理人的统一调配下，承包人应尽可能地提供人员、材料、设备的便利，以便施工检测、监控、科研工作顺利的进行；</w:t>
      </w:r>
    </w:p>
    <w:p w14:paraId="29C9091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d.承包人应参与检测、监控、科研资料的总结与分析工作。</w:t>
      </w:r>
    </w:p>
    <w:p w14:paraId="0522B8B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（9）地方道路、分流道路的维护和管理</w:t>
      </w:r>
    </w:p>
    <w:p w14:paraId="4D92DF1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在使用现有地方道路和分流道路过程中，必须采取一切措施确保车辆正常通行，做到施工、通车两不误。承包人应针对通车路段的施工特点，提出通车路段的施工维护、交通组织方案，报监理人及相关职能部门批准，并认真组织实施。施工方案和措施应包括：</w:t>
      </w:r>
    </w:p>
    <w:p w14:paraId="257B64C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a.成立维护、管理组织，负责正常道路维护和交通管理工作；</w:t>
      </w:r>
    </w:p>
    <w:p w14:paraId="73CBF50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b.配备交通管理标志，指定专人维护交通秩序；</w:t>
      </w:r>
    </w:p>
    <w:p w14:paraId="2F62AB0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c.加强与交警、公路管理等职能部门联系，争取交警、公路管理部门等的参与，建立切实可行交通管理制度。</w:t>
      </w:r>
    </w:p>
    <w:p w14:paraId="58278CF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pacing w:val="-2"/>
          <w:sz w:val="21"/>
          <w:szCs w:val="21"/>
        </w:rPr>
        <w:t>于承包人措施不力，导致阻车和事故频发或损坏现有</w:t>
      </w:r>
      <w:r>
        <w:rPr>
          <w:rFonts w:hint="eastAsia" w:ascii="宋体" w:hAnsi="宋体" w:eastAsia="宋体" w:cs="宋体"/>
          <w:sz w:val="21"/>
          <w:szCs w:val="21"/>
        </w:rPr>
        <w:t>地方道路及分流道路</w:t>
      </w:r>
      <w:r>
        <w:rPr>
          <w:rFonts w:hint="eastAsia" w:ascii="宋体" w:hAnsi="宋体" w:eastAsia="宋体" w:cs="宋体"/>
          <w:spacing w:val="-2"/>
          <w:sz w:val="21"/>
          <w:szCs w:val="21"/>
        </w:rPr>
        <w:t>，影响交通安全和正常运行，并造成重大影响，引起索赔，赔偿、诉讼费用及工程拖延或施工费用增加时，应由承包人承担一切责任和费用</w:t>
      </w:r>
      <w:r>
        <w:rPr>
          <w:rFonts w:hint="eastAsia" w:ascii="宋体" w:hAnsi="宋体" w:eastAsia="宋体" w:cs="宋体"/>
          <w:sz w:val="21"/>
          <w:szCs w:val="21"/>
        </w:rPr>
        <w:t>。</w:t>
      </w:r>
    </w:p>
    <w:p w14:paraId="6BA6758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（10）承包人应配合发包人做好征地拆迁的配合工作，必要时应无偿提供人力、设备以及材料等方面的支持配合，</w:t>
      </w:r>
      <w:r>
        <w:rPr>
          <w:rFonts w:hint="eastAsia" w:ascii="宋体" w:hAnsi="宋体" w:eastAsia="宋体" w:cs="宋体"/>
          <w:spacing w:val="-2"/>
          <w:sz w:val="21"/>
          <w:szCs w:val="21"/>
        </w:rPr>
        <w:t>承包人因此增加的费用应认为已包括在合同价之中，发包人不另行支付。</w:t>
      </w:r>
    </w:p>
    <w:p w14:paraId="6AACD4E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1</w:t>
      </w:r>
      <w:r>
        <w:rPr>
          <w:rFonts w:hint="eastAsia" w:ascii="宋体" w:hAnsi="宋体" w:eastAsia="宋体" w:cs="宋体"/>
          <w:sz w:val="21"/>
          <w:szCs w:val="21"/>
        </w:rPr>
        <w:t>）未经发包人事先批准，承包人不得在任何报纸、商业或技术文献上刊登或披露任何与本合同或与本工程有关的详细资料。</w:t>
      </w:r>
    </w:p>
    <w:p w14:paraId="094478D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承包人不应在现场或施工设施上展示或允许展示任何贸易和商业性广告。在工地现场张贴布告，应事先得到监理人的批准，当监理人指示撤除时，应立即执行。</w:t>
      </w:r>
    </w:p>
    <w:p w14:paraId="2B40BC1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承包人不得将任何种类的爆破器材给予、易货或以其他任何方式转给他人，承包人应遵守《中华人民共和国民用爆炸物品管理条例》。承包人在进行爆破施工前应当编制详细实施性施工方案、安全专项方案以及进行相关的试爆工作的实施方案，并报经监理人及相关部门审批认可，同时应综合考虑爆破震动、落物等负面因素对正在运营的高速公路、电力、通信通讯等周边设施、建筑物和环境等的影响，承包人应加强施工过程中的监控量测工作，制定相应的预警预控机制和安全应急预案，避免对上述设施造成破坏，否则，由此引起的一切费用均由承包人承担。</w:t>
      </w:r>
    </w:p>
    <w:p w14:paraId="4AC580D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pacing w:val="-2"/>
          <w:sz w:val="21"/>
          <w:szCs w:val="21"/>
        </w:rPr>
        <w:t xml:space="preserve"> 工程完工后，承包人所在标段的遗留问题，如（不限于）：河道清理、渣土清运、临时用地（含取、弃土场等）的复耕复绿、老桥拆除砼垃圾的清理外运解小、建筑垃圾和渣土清运,临时工程的清除、赔偿，因承包人施工原因造成的受损地方道路、桥梁或其他公共设施等，承包人应积极主动进行处理、解决、修复和恢复等，并承担所有费用。如果上述问题在发包人规定的期限内不能解决，发包人有权单独或委托其他单位进行处理，发生的全部费用由承包人承担</w:t>
      </w:r>
      <w:r>
        <w:rPr>
          <w:rFonts w:hint="eastAsia" w:ascii="宋体" w:hAnsi="宋体" w:eastAsia="宋体" w:cs="宋体"/>
          <w:sz w:val="21"/>
          <w:szCs w:val="21"/>
        </w:rPr>
        <w:t>。</w:t>
      </w:r>
    </w:p>
    <w:p w14:paraId="45F9554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p>
    <w:p w14:paraId="0885B3C1">
      <w:pPr>
        <w:tabs>
          <w:tab w:val="left" w:pos="2790"/>
        </w:tabs>
        <w:spacing w:line="360" w:lineRule="auto"/>
        <w:outlineLvl w:val="4"/>
        <w:rPr>
          <w:rFonts w:hint="eastAsia" w:ascii="宋体" w:hAnsi="宋体" w:eastAsia="宋体" w:cs="宋体"/>
          <w:sz w:val="21"/>
          <w:szCs w:val="21"/>
        </w:rPr>
      </w:pPr>
      <w:bookmarkStart w:id="257" w:name="_Toc154675090"/>
      <w:bookmarkStart w:id="258" w:name="_Toc370143952"/>
      <w:r>
        <w:rPr>
          <w:rFonts w:hint="eastAsia" w:ascii="宋体" w:hAnsi="宋体" w:eastAsia="宋体" w:cs="宋体"/>
          <w:sz w:val="21"/>
          <w:szCs w:val="21"/>
        </w:rPr>
        <w:t>4.3  分包</w:t>
      </w:r>
      <w:bookmarkEnd w:id="257"/>
      <w:bookmarkEnd w:id="258"/>
    </w:p>
    <w:p w14:paraId="4E57CBA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第4.3.3（1）目补充：</w:t>
      </w:r>
    </w:p>
    <w:p w14:paraId="0DE7C75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（1）不允许分包的工程内容为：_____________。</w:t>
      </w:r>
    </w:p>
    <w:p w14:paraId="011DEE3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承包人在</w:t>
      </w:r>
      <w:r>
        <w:rPr>
          <w:rFonts w:hint="eastAsia" w:ascii="宋体" w:hAnsi="宋体" w:cs="宋体"/>
          <w:sz w:val="21"/>
          <w:szCs w:val="21"/>
          <w:lang w:val="en-US" w:eastAsia="zh-CN"/>
        </w:rPr>
        <w:t>承包</w:t>
      </w:r>
      <w:r>
        <w:rPr>
          <w:rFonts w:hint="eastAsia" w:ascii="宋体" w:hAnsi="宋体" w:eastAsia="宋体" w:cs="宋体"/>
          <w:sz w:val="21"/>
          <w:szCs w:val="21"/>
        </w:rPr>
        <w:t>后补充提交分包计划的，应按规定及时向监理人提交分包计划并经发包人批准后，可以依法实施分包。</w:t>
      </w:r>
    </w:p>
    <w:p w14:paraId="2E1C4B3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第4.3.7项细化为：</w:t>
      </w:r>
    </w:p>
    <w:p w14:paraId="09AF3AF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4.3.7 本项目的各项分包工作均应遵守《公路工程施工分包管理办法》及《浙江省公路水运工程施工分包管理办法（试行）》的有关规定。</w:t>
      </w:r>
    </w:p>
    <w:p w14:paraId="7FE67040">
      <w:pPr>
        <w:tabs>
          <w:tab w:val="left" w:pos="2790"/>
        </w:tabs>
        <w:spacing w:line="360" w:lineRule="auto"/>
        <w:outlineLvl w:val="4"/>
        <w:rPr>
          <w:rFonts w:hint="eastAsia" w:ascii="宋体" w:hAnsi="宋体" w:eastAsia="宋体" w:cs="宋体"/>
          <w:sz w:val="21"/>
          <w:szCs w:val="21"/>
        </w:rPr>
      </w:pPr>
      <w:bookmarkStart w:id="259" w:name="_Toc154675091"/>
      <w:r>
        <w:rPr>
          <w:rFonts w:hint="eastAsia" w:ascii="宋体" w:hAnsi="宋体" w:eastAsia="宋体" w:cs="宋体"/>
          <w:sz w:val="21"/>
          <w:szCs w:val="21"/>
        </w:rPr>
        <w:t>4.6  承包人人员的管理</w:t>
      </w:r>
      <w:bookmarkEnd w:id="259"/>
    </w:p>
    <w:p w14:paraId="4185AAF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第4.6.3项补充：</w:t>
      </w:r>
    </w:p>
    <w:p w14:paraId="1EBC22D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承包人项目经理、项目技术负责人及安全负责人应签署承诺书，承诺按</w:t>
      </w:r>
      <w:r>
        <w:rPr>
          <w:rFonts w:hint="eastAsia" w:ascii="宋体" w:hAnsi="宋体" w:eastAsia="宋体" w:cs="宋体"/>
          <w:sz w:val="21"/>
          <w:szCs w:val="21"/>
          <w:lang w:eastAsia="zh-CN"/>
        </w:rPr>
        <w:t>发包文件</w:t>
      </w:r>
      <w:r>
        <w:rPr>
          <w:rFonts w:hint="eastAsia" w:ascii="宋体" w:hAnsi="宋体" w:eastAsia="宋体" w:cs="宋体"/>
          <w:sz w:val="21"/>
          <w:szCs w:val="21"/>
        </w:rPr>
        <w:t>规定到位，若有更换，同意按《浙江省公路水运建设工程从业主体信用评价管理细则》扣分或纳入负面清单管理。</w:t>
      </w:r>
    </w:p>
    <w:p w14:paraId="171D6AD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本款补充第4.6.6项～第4.6.8项：</w:t>
      </w:r>
    </w:p>
    <w:p w14:paraId="4752412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4.6.6 承包人的所有管理、施工人员（包括分包队伍）需着统一的明显标志服，夜间须为反光标志服，同时须符合相关安全管理的规定，并按不同岗位佩证上岗。</w:t>
      </w:r>
    </w:p>
    <w:p w14:paraId="5848835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4.6.7承包人项目经理、项目技术负责人及主要管理人员的出勤需进行考勤。项目经理及项目技术负责人离开工地必须向监理人书面请假，并经发包人同意后才能离开；每月在工地天数应大于20天（特殊情况经监理人批准报发包人同意例外）。</w:t>
      </w:r>
    </w:p>
    <w:p w14:paraId="1AE67D0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4.6.8 除因管理原因发生重大质量安全事故不适合再任，因生病住院、终止劳动合同关系（需提供相关部门或单位的证明材料）等无法继续履行合同责任和义务，被责令停止执业、羁押或判刑外，承包人不得提出更换项目经理、项目技术负责人。符合上述规定确需更换的，应征得发包人同意，并经有关行业行政主管部门备案，且更换后的人员不得低于原</w:t>
      </w:r>
      <w:r>
        <w:rPr>
          <w:rFonts w:hint="eastAsia" w:ascii="宋体" w:hAnsi="宋体" w:eastAsia="宋体" w:cs="宋体"/>
          <w:sz w:val="21"/>
          <w:szCs w:val="21"/>
          <w:lang w:eastAsia="zh-CN"/>
        </w:rPr>
        <w:t>竞包</w:t>
      </w:r>
      <w:r>
        <w:rPr>
          <w:rFonts w:hint="eastAsia" w:ascii="宋体" w:hAnsi="宋体" w:eastAsia="宋体" w:cs="宋体"/>
          <w:sz w:val="21"/>
          <w:szCs w:val="21"/>
        </w:rPr>
        <w:t>承诺人员所具有的资格和业绩条件。</w:t>
      </w:r>
    </w:p>
    <w:p w14:paraId="1EAFEE80">
      <w:pPr>
        <w:tabs>
          <w:tab w:val="left" w:pos="2790"/>
        </w:tabs>
        <w:spacing w:line="360" w:lineRule="auto"/>
        <w:outlineLvl w:val="4"/>
        <w:rPr>
          <w:rFonts w:hint="eastAsia" w:ascii="宋体" w:hAnsi="宋体" w:eastAsia="宋体" w:cs="宋体"/>
          <w:sz w:val="21"/>
          <w:szCs w:val="21"/>
        </w:rPr>
      </w:pPr>
      <w:bookmarkStart w:id="260" w:name="_Toc154675092"/>
      <w:r>
        <w:rPr>
          <w:rFonts w:hint="eastAsia" w:ascii="宋体" w:hAnsi="宋体" w:eastAsia="宋体" w:cs="宋体"/>
          <w:sz w:val="21"/>
          <w:szCs w:val="21"/>
        </w:rPr>
        <w:t>4.8  保障承包人人员的合法权益</w:t>
      </w:r>
      <w:bookmarkEnd w:id="260"/>
    </w:p>
    <w:p w14:paraId="2E4141A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第4.8.3项补充：</w:t>
      </w:r>
    </w:p>
    <w:p w14:paraId="4B4320E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承包人应至少设一名具有一定卫生常识及传染病防治知识的卫生督查员，负责承包人所在施工现场的传染病检查、控制、报告。</w:t>
      </w:r>
    </w:p>
    <w:p w14:paraId="01DE13C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爆发任何具有传染性的疾病时，承包人应遵守并执行当地政府或卫生防疫部门为防治和消灭上述传染病蔓延而制订的规章、命令和要求。建立人员流动登记制度、信息报告制度，与当地卫生防疫部门积极合作，做好各项防范措施的落实工作。</w:t>
      </w:r>
    </w:p>
    <w:p w14:paraId="3A7249FE">
      <w:pPr>
        <w:tabs>
          <w:tab w:val="left" w:pos="2790"/>
        </w:tabs>
        <w:spacing w:line="360" w:lineRule="auto"/>
        <w:outlineLvl w:val="4"/>
        <w:rPr>
          <w:rFonts w:hint="eastAsia" w:ascii="宋体" w:hAnsi="宋体" w:eastAsia="宋体" w:cs="宋体"/>
          <w:sz w:val="21"/>
          <w:szCs w:val="21"/>
        </w:rPr>
      </w:pPr>
      <w:bookmarkStart w:id="261" w:name="_Toc154675093"/>
      <w:r>
        <w:rPr>
          <w:rFonts w:hint="eastAsia" w:ascii="宋体" w:hAnsi="宋体" w:eastAsia="宋体" w:cs="宋体"/>
          <w:sz w:val="21"/>
          <w:szCs w:val="21"/>
        </w:rPr>
        <w:t>4.11  不利物质条件</w:t>
      </w:r>
      <w:bookmarkEnd w:id="261"/>
    </w:p>
    <w:p w14:paraId="7428946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4.11.1  不利物质条件的范围：</w:t>
      </w:r>
      <w:r>
        <w:rPr>
          <w:rFonts w:hint="eastAsia" w:ascii="宋体" w:hAnsi="宋体" w:eastAsia="宋体" w:cs="宋体"/>
          <w:sz w:val="21"/>
          <w:szCs w:val="21"/>
          <w:u w:val="single"/>
        </w:rPr>
        <w:t xml:space="preserve">                          </w:t>
      </w:r>
    </w:p>
    <w:p w14:paraId="6A6C3B03">
      <w:pPr>
        <w:tabs>
          <w:tab w:val="left" w:pos="2790"/>
        </w:tabs>
        <w:spacing w:line="360" w:lineRule="auto"/>
        <w:rPr>
          <w:rFonts w:hint="eastAsia" w:ascii="宋体" w:hAnsi="宋体" w:eastAsia="宋体" w:cs="宋体"/>
          <w:sz w:val="21"/>
          <w:szCs w:val="21"/>
        </w:rPr>
      </w:pPr>
    </w:p>
    <w:p w14:paraId="132A6786">
      <w:pPr>
        <w:tabs>
          <w:tab w:val="left" w:pos="2790"/>
        </w:tabs>
        <w:spacing w:line="360" w:lineRule="auto"/>
        <w:outlineLvl w:val="3"/>
        <w:rPr>
          <w:rFonts w:hint="eastAsia" w:ascii="宋体" w:hAnsi="宋体" w:eastAsia="宋体" w:cs="宋体"/>
          <w:sz w:val="21"/>
          <w:szCs w:val="21"/>
        </w:rPr>
      </w:pPr>
      <w:bookmarkStart w:id="262" w:name="_Toc3887"/>
      <w:bookmarkStart w:id="263" w:name="_Toc154675094"/>
      <w:r>
        <w:rPr>
          <w:rFonts w:hint="eastAsia" w:ascii="宋体" w:hAnsi="宋体" w:eastAsia="宋体" w:cs="宋体"/>
          <w:sz w:val="21"/>
          <w:szCs w:val="21"/>
        </w:rPr>
        <w:t>6. 施工设备和临时设施</w:t>
      </w:r>
      <w:bookmarkEnd w:id="262"/>
      <w:bookmarkEnd w:id="263"/>
    </w:p>
    <w:p w14:paraId="7A512990">
      <w:pPr>
        <w:tabs>
          <w:tab w:val="left" w:pos="2790"/>
        </w:tabs>
        <w:spacing w:line="360" w:lineRule="auto"/>
        <w:outlineLvl w:val="4"/>
        <w:rPr>
          <w:rFonts w:hint="eastAsia" w:ascii="宋体" w:hAnsi="宋体" w:eastAsia="宋体" w:cs="宋体"/>
          <w:sz w:val="21"/>
          <w:szCs w:val="21"/>
        </w:rPr>
      </w:pPr>
      <w:bookmarkStart w:id="264" w:name="_Toc154675095"/>
      <w:r>
        <w:rPr>
          <w:rFonts w:hint="eastAsia" w:ascii="宋体" w:hAnsi="宋体" w:eastAsia="宋体" w:cs="宋体"/>
          <w:sz w:val="21"/>
          <w:szCs w:val="21"/>
        </w:rPr>
        <w:t>6.1  承包人提供的施工设备和临时设施</w:t>
      </w:r>
      <w:bookmarkEnd w:id="264"/>
    </w:p>
    <w:p w14:paraId="1CEE6521">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本款补充第6.1.3项：</w:t>
      </w:r>
    </w:p>
    <w:p w14:paraId="0C3220B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6.1.3 承包人按照合同附件提出的最低要求填报的主要机械设备和试验检测设备，在经发包人审批后作为主要设备不得任意更换。</w:t>
      </w:r>
    </w:p>
    <w:p w14:paraId="6859AD45">
      <w:pPr>
        <w:tabs>
          <w:tab w:val="left" w:pos="2790"/>
        </w:tabs>
        <w:spacing w:line="360" w:lineRule="auto"/>
        <w:outlineLvl w:val="4"/>
        <w:rPr>
          <w:rFonts w:hint="eastAsia" w:ascii="宋体" w:hAnsi="宋体" w:eastAsia="宋体" w:cs="宋体"/>
          <w:sz w:val="21"/>
          <w:szCs w:val="21"/>
        </w:rPr>
      </w:pPr>
      <w:bookmarkStart w:id="265" w:name="_Toc154675096"/>
      <w:r>
        <w:rPr>
          <w:rFonts w:hint="eastAsia" w:ascii="宋体" w:hAnsi="宋体" w:eastAsia="宋体" w:cs="宋体"/>
          <w:sz w:val="21"/>
          <w:szCs w:val="21"/>
        </w:rPr>
        <w:t>6.3  要求承包人增加或更换施工设备</w:t>
      </w:r>
      <w:bookmarkEnd w:id="265"/>
    </w:p>
    <w:p w14:paraId="2DAE248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w:t>
      </w:r>
    </w:p>
    <w:p w14:paraId="699ECDD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承包人的机械、车辆必须证（照）齐全，三无车辆不得进场。</w:t>
      </w:r>
    </w:p>
    <w:p w14:paraId="6717050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违反本款规定，则按第22.1款承包人违约处理。</w:t>
      </w:r>
    </w:p>
    <w:p w14:paraId="702600E8">
      <w:pPr>
        <w:tabs>
          <w:tab w:val="left" w:pos="2790"/>
        </w:tabs>
        <w:spacing w:line="360" w:lineRule="auto"/>
        <w:outlineLvl w:val="3"/>
        <w:rPr>
          <w:rFonts w:hint="eastAsia" w:ascii="宋体" w:hAnsi="宋体" w:eastAsia="宋体" w:cs="宋体"/>
          <w:sz w:val="21"/>
          <w:szCs w:val="21"/>
        </w:rPr>
      </w:pPr>
      <w:bookmarkStart w:id="266" w:name="_Toc27345"/>
      <w:bookmarkStart w:id="267" w:name="_Toc154675097"/>
      <w:r>
        <w:rPr>
          <w:rFonts w:hint="eastAsia" w:ascii="宋体" w:hAnsi="宋体" w:eastAsia="宋体" w:cs="宋体"/>
          <w:sz w:val="21"/>
          <w:szCs w:val="21"/>
        </w:rPr>
        <w:t>7. 交通运输</w:t>
      </w:r>
      <w:bookmarkEnd w:id="266"/>
      <w:bookmarkEnd w:id="267"/>
    </w:p>
    <w:p w14:paraId="07369D09">
      <w:pPr>
        <w:tabs>
          <w:tab w:val="left" w:pos="2790"/>
        </w:tabs>
        <w:spacing w:line="360" w:lineRule="auto"/>
        <w:outlineLvl w:val="4"/>
        <w:rPr>
          <w:rFonts w:hint="eastAsia" w:ascii="宋体" w:hAnsi="宋体" w:eastAsia="宋体" w:cs="宋体"/>
          <w:sz w:val="21"/>
          <w:szCs w:val="21"/>
        </w:rPr>
      </w:pPr>
      <w:bookmarkStart w:id="268" w:name="_Toc154675098"/>
      <w:r>
        <w:rPr>
          <w:rFonts w:hint="eastAsia" w:ascii="宋体" w:hAnsi="宋体" w:eastAsia="宋体" w:cs="宋体"/>
          <w:sz w:val="21"/>
          <w:szCs w:val="21"/>
        </w:rPr>
        <w:t>7.2  场内施工道路</w:t>
      </w:r>
      <w:bookmarkEnd w:id="268"/>
    </w:p>
    <w:p w14:paraId="49AD052A">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第7.2.2项约定为：</w:t>
      </w:r>
    </w:p>
    <w:p w14:paraId="2160441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7.2.2 承包人应允许发包人、监理人及发包人安排的其他相关人员无偿使用由承包人修建和维护的临时道路、桥梁等设施。承包人应允许与发包人签订有承包合同的其他承包人或其工作人员使用由承包人修建和维护的临时道路、桥梁等设施；如其他承包人或其工作人员在使用中对临时设施有损坏时，承包人可通过监理人指出由其他承包人给予修复或赔偿的要求。</w:t>
      </w:r>
    </w:p>
    <w:p w14:paraId="224EE3C9">
      <w:pPr>
        <w:tabs>
          <w:tab w:val="left" w:pos="2790"/>
        </w:tabs>
        <w:spacing w:line="360" w:lineRule="auto"/>
        <w:outlineLvl w:val="3"/>
        <w:rPr>
          <w:rFonts w:hint="eastAsia" w:ascii="宋体" w:hAnsi="宋体" w:eastAsia="宋体" w:cs="宋体"/>
          <w:sz w:val="21"/>
          <w:szCs w:val="21"/>
        </w:rPr>
      </w:pPr>
      <w:bookmarkStart w:id="269" w:name="_Toc8054"/>
      <w:bookmarkStart w:id="270" w:name="_Toc154675099"/>
      <w:r>
        <w:rPr>
          <w:rFonts w:hint="eastAsia" w:ascii="宋体" w:hAnsi="宋体" w:eastAsia="宋体" w:cs="宋体"/>
          <w:sz w:val="21"/>
          <w:szCs w:val="21"/>
        </w:rPr>
        <w:t>9. 施工安全、治安保卫和环境保护</w:t>
      </w:r>
      <w:bookmarkEnd w:id="269"/>
      <w:bookmarkEnd w:id="270"/>
    </w:p>
    <w:p w14:paraId="6FF19AF9">
      <w:pPr>
        <w:tabs>
          <w:tab w:val="left" w:pos="2790"/>
        </w:tabs>
        <w:spacing w:line="360" w:lineRule="auto"/>
        <w:outlineLvl w:val="4"/>
        <w:rPr>
          <w:rFonts w:hint="eastAsia" w:ascii="宋体" w:hAnsi="宋体" w:eastAsia="宋体" w:cs="宋体"/>
          <w:sz w:val="21"/>
          <w:szCs w:val="21"/>
        </w:rPr>
      </w:pPr>
      <w:bookmarkStart w:id="271" w:name="_Toc154675100"/>
      <w:r>
        <w:rPr>
          <w:rFonts w:hint="eastAsia" w:ascii="宋体" w:hAnsi="宋体" w:eastAsia="宋体" w:cs="宋体"/>
          <w:sz w:val="21"/>
          <w:szCs w:val="21"/>
        </w:rPr>
        <w:t>9.2  承包人的施工安全责任</w:t>
      </w:r>
      <w:bookmarkEnd w:id="271"/>
    </w:p>
    <w:p w14:paraId="50051675">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第9.2.5项约定为：</w:t>
      </w:r>
    </w:p>
    <w:p w14:paraId="081F130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9.2.5 安全生产费用应为</w:t>
      </w:r>
      <w:r>
        <w:rPr>
          <w:rFonts w:hint="eastAsia" w:ascii="宋体" w:hAnsi="宋体" w:eastAsia="宋体" w:cs="宋体"/>
          <w:sz w:val="21"/>
          <w:szCs w:val="21"/>
          <w:lang w:eastAsia="zh-CN"/>
        </w:rPr>
        <w:t>发包人</w:t>
      </w:r>
      <w:r>
        <w:rPr>
          <w:rFonts w:hint="eastAsia" w:ascii="宋体" w:hAnsi="宋体" w:eastAsia="宋体" w:cs="宋体"/>
          <w:sz w:val="21"/>
          <w:szCs w:val="21"/>
        </w:rPr>
        <w:t>公布的工程量清单预算的</w:t>
      </w:r>
      <w:r>
        <w:rPr>
          <w:rFonts w:hint="eastAsia" w:ascii="宋体" w:hAnsi="宋体" w:eastAsia="宋体" w:cs="宋体"/>
          <w:sz w:val="21"/>
          <w:szCs w:val="21"/>
          <w:lang w:val="en-US" w:eastAsia="zh-CN"/>
        </w:rPr>
        <w:t>1.5</w:t>
      </w:r>
      <w:r>
        <w:rPr>
          <w:rFonts w:hint="eastAsia" w:ascii="宋体" w:hAnsi="宋体" w:eastAsia="宋体" w:cs="宋体"/>
          <w:sz w:val="21"/>
          <w:szCs w:val="21"/>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1F32135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承包人还应执行《浙江省交通建设工程质量和安全生产管理条例》的相关规定和要求。安全生产费的使用和支付按《浙江省交通建设工程安全生产费用管理办法》的相关要求以及相关最新规定办理。</w:t>
      </w:r>
    </w:p>
    <w:p w14:paraId="20C3B80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第9.2.8（1）目细化为：</w:t>
      </w:r>
    </w:p>
    <w:p w14:paraId="3BDE8E7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按《公路水运工程安全生产监督管理办法》、《浙江省交通建设工程质量和安全生产管理条例》、《浙江省交通建设工程质量和安全生产监督工作实施办法》、《关于进一步加强全省交通建设工程安全生产管理工作的若干规定》、《省交通运输厅安委办关于印发&lt;浙江省交通建设工程施工安全十条规定&gt;的通知》配备固定专职安全生产管理人员，并履行安全生产管理人员职责。</w:t>
      </w:r>
    </w:p>
    <w:p w14:paraId="452C9E0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第9.2.8（4）目细化为：</w:t>
      </w:r>
    </w:p>
    <w:p w14:paraId="08466B9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根据本合同各单位工程的施工特点，严格执行《公路水运工程安全生产监督管理办法》、《浙江省交通建设工程质量和安全生产管理条例》、《浙江省交通建设工程质量和安全生产监督工作实施办法》、《关于进一步加强全省交通建设工程安全生产管理工作的若干规定》、《省交通运输厅安委办关于印发&lt;浙江省交通建设工程施工安全十条规定&gt;的通知》、《公路工程施工安全技术规范》等有关规定。</w:t>
      </w:r>
    </w:p>
    <w:p w14:paraId="5EA4557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第9.2.8项补充第（5）目：</w:t>
      </w:r>
    </w:p>
    <w:p w14:paraId="7933988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（5）严格按批准的实施性交通安全组织方案做好施工安全相关组织管理工作。</w:t>
      </w:r>
    </w:p>
    <w:p w14:paraId="00BBCD6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补充第9.2.12</w:t>
      </w:r>
      <w:r>
        <w:rPr>
          <w:rFonts w:hint="eastAsia" w:ascii="宋体" w:hAnsi="宋体" w:eastAsia="宋体" w:cs="宋体"/>
          <w:sz w:val="21"/>
          <w:szCs w:val="21"/>
          <w:lang w:eastAsia="zh-CN"/>
        </w:rPr>
        <w:t>～</w:t>
      </w:r>
      <w:r>
        <w:rPr>
          <w:rFonts w:hint="eastAsia" w:ascii="宋体" w:hAnsi="宋体" w:eastAsia="宋体" w:cs="宋体"/>
          <w:sz w:val="21"/>
          <w:szCs w:val="21"/>
        </w:rPr>
        <w:t>9.2.1</w:t>
      </w:r>
      <w:r>
        <w:rPr>
          <w:rFonts w:hint="eastAsia" w:ascii="宋体" w:hAnsi="宋体" w:eastAsia="宋体" w:cs="宋体"/>
          <w:sz w:val="21"/>
          <w:szCs w:val="21"/>
          <w:lang w:val="en-US" w:eastAsia="zh-CN"/>
        </w:rPr>
        <w:t>8</w:t>
      </w:r>
      <w:r>
        <w:rPr>
          <w:rFonts w:hint="eastAsia" w:ascii="宋体" w:hAnsi="宋体" w:eastAsia="宋体" w:cs="宋体"/>
          <w:sz w:val="21"/>
          <w:szCs w:val="21"/>
        </w:rPr>
        <w:t>项：</w:t>
      </w:r>
    </w:p>
    <w:p w14:paraId="5DDA7391">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 xml:space="preserve">9.2.12 </w:t>
      </w:r>
      <w:r>
        <w:rPr>
          <w:rFonts w:hint="eastAsia" w:ascii="宋体" w:hAnsi="宋体" w:eastAsia="宋体" w:cs="宋体"/>
          <w:sz w:val="21"/>
          <w:szCs w:val="21"/>
        </w:rPr>
        <w:t>承包人应按照《浙江省交通建设工程施工安全风险管理办法》，在施工标段开工前负责组织开展专项风险评估工作，</w:t>
      </w:r>
      <w:r>
        <w:rPr>
          <w:rFonts w:hint="eastAsia" w:ascii="宋体" w:hAnsi="宋体" w:eastAsia="宋体" w:cs="宋体"/>
          <w:spacing w:val="-2"/>
          <w:sz w:val="21"/>
          <w:szCs w:val="21"/>
        </w:rPr>
        <w:t>承包人因此增加的费用认为已包括在合同价中，发包人不另行支付。</w:t>
      </w:r>
    </w:p>
    <w:p w14:paraId="7D59C613">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9.2.13 承包人应对危险性较大的分部分项工程按照</w:t>
      </w:r>
      <w:r>
        <w:rPr>
          <w:rFonts w:hint="eastAsia" w:ascii="宋体" w:hAnsi="宋体" w:eastAsia="宋体" w:cs="宋体"/>
          <w:spacing w:val="-2"/>
          <w:sz w:val="21"/>
          <w:szCs w:val="21"/>
          <w:lang w:eastAsia="zh-CN"/>
        </w:rPr>
        <w:t>《公路水运危险性较大工程专项施工方案编制审查规程》（JT/T1495-2024）</w:t>
      </w:r>
      <w:r>
        <w:rPr>
          <w:rFonts w:hint="eastAsia" w:ascii="宋体" w:hAnsi="宋体" w:eastAsia="宋体" w:cs="宋体"/>
          <w:spacing w:val="-2"/>
          <w:sz w:val="21"/>
          <w:szCs w:val="21"/>
        </w:rPr>
        <w:t>要求做好专项施工方案编制、审查等工作。由施工引起涉及各类管线的，由承包人负责安全评估等相关工作，以保证施工安全。由施工引起的涉河、涉水等审批应由承包人负责。承包人所采取的所有措施以及因此增加的费用（含技术、安全论证专题费、风险评估费用、聘请专家的会务费、安评、审批等）应认为已包括在合同价中，发包人不另行支付。危大工程、关键工序施工时，施工单位项目负责人必须现场带班作业，并指定专业技术人员现场落实方案实施。</w:t>
      </w:r>
    </w:p>
    <w:p w14:paraId="3C302724">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9.2.14在合同执行期间，承包人应执行发包人和行业主管部门下发的安全生产管理的相关规定和文件。</w:t>
      </w:r>
    </w:p>
    <w:p w14:paraId="4518B9EB">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9.2.15在合同执行期间，因承包人原因引起的交通事故，其所涉及的停工、索赔、赔偿、诉讼费用及工程拖延或施工费用增加时，应由承包人承担一切责任和费用。</w:t>
      </w:r>
    </w:p>
    <w:p w14:paraId="32557863">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9.2.16承包人要加强源头控制，落实安全管理责任，切实做好施工车辆、施工路段管理。一是强化源头管理，对施工车辆上路条件、安全技术状况和资质进行严格把关。二是加强检查力度，严禁施工车辆超载、违法载人以及遮挡号牌、无牌上路等违法行为。三是做好施工路段管控，严格按照有关标准设置明显的安全警示标志，采取安全防护措施，引导施工路段车辆安全通行，严禁非施工作业车辆进入施工区域。</w:t>
      </w:r>
    </w:p>
    <w:p w14:paraId="46735678">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9.2.17 承包人原则上不得安排夜间施工，确需施工的，必须制定专项方案，报发包人批准。夜间施工时，承包人项目负责人必须现场带班作业，并指定工程管理人员和专职安全生产管理人员监督现场施工。</w:t>
      </w:r>
    </w:p>
    <w:p w14:paraId="28CDF553">
      <w:pPr>
        <w:tabs>
          <w:tab w:val="left" w:pos="2790"/>
        </w:tabs>
        <w:spacing w:line="360" w:lineRule="auto"/>
        <w:ind w:firstLine="412" w:firstLineChars="200"/>
        <w:rPr>
          <w:rFonts w:hint="eastAsia" w:ascii="宋体" w:hAnsi="宋体" w:eastAsia="宋体" w:cs="宋体"/>
          <w:spacing w:val="-2"/>
          <w:sz w:val="21"/>
          <w:szCs w:val="21"/>
        </w:rPr>
      </w:pPr>
      <w:r>
        <w:rPr>
          <w:rFonts w:hint="eastAsia" w:ascii="宋体" w:hAnsi="宋体" w:eastAsia="宋体" w:cs="宋体"/>
          <w:spacing w:val="-2"/>
          <w:sz w:val="21"/>
          <w:szCs w:val="21"/>
        </w:rPr>
        <w:t>9.2.18 承包人应按照《交通运输部 应急管理部关于发布&lt;公路水运工程淘汰危及生产安全施工工艺、设备和材料目录&gt;的公告》、《浙江省交通运输厅关于发布&lt;浙江省公路水运工程落后施工工艺、设备和材料的淘汰目录（第一批）&gt;的通知》等规定，严格淘汰危及生产安全和落后的施工工艺、设备和材料。</w:t>
      </w:r>
    </w:p>
    <w:p w14:paraId="27E825D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违反本款规定，则按第22.1款承包人违约处理。</w:t>
      </w:r>
    </w:p>
    <w:p w14:paraId="34434CF2">
      <w:pPr>
        <w:tabs>
          <w:tab w:val="left" w:pos="2790"/>
        </w:tabs>
        <w:spacing w:line="360" w:lineRule="auto"/>
        <w:outlineLvl w:val="4"/>
        <w:rPr>
          <w:rFonts w:hint="eastAsia" w:ascii="宋体" w:hAnsi="宋体" w:eastAsia="宋体" w:cs="宋体"/>
          <w:sz w:val="21"/>
          <w:szCs w:val="21"/>
        </w:rPr>
      </w:pPr>
      <w:bookmarkStart w:id="272" w:name="_Toc154675101"/>
      <w:bookmarkStart w:id="273" w:name="_Toc370143964"/>
      <w:bookmarkStart w:id="274" w:name="_Toc324338183"/>
      <w:bookmarkStart w:id="275" w:name="_Toc302652295"/>
      <w:bookmarkStart w:id="276" w:name="_Toc322539172"/>
      <w:r>
        <w:rPr>
          <w:rFonts w:hint="eastAsia" w:ascii="宋体" w:hAnsi="宋体" w:eastAsia="宋体" w:cs="宋体"/>
          <w:sz w:val="21"/>
          <w:szCs w:val="21"/>
        </w:rPr>
        <w:t>9.4  环境保护</w:t>
      </w:r>
      <w:bookmarkEnd w:id="272"/>
      <w:bookmarkEnd w:id="273"/>
      <w:bookmarkEnd w:id="274"/>
      <w:bookmarkEnd w:id="275"/>
      <w:bookmarkEnd w:id="276"/>
    </w:p>
    <w:p w14:paraId="3A1C181A">
      <w:pPr>
        <w:tabs>
          <w:tab w:val="left" w:pos="2790"/>
        </w:tabs>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本款补充第9.4.12项：</w:t>
      </w:r>
    </w:p>
    <w:p w14:paraId="58D0EF6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9.4.12承包人在施工中应当贯彻“不破坏就是最大的保护”思想，尊重自然植被地貌，原则上不准在主线视线范围内设置借土场（取土坑）、弃土场（弃渣场），确需要的，承包人须采取复绿、排水及防护等措施，保证公路沿线美观、和谐、环保。</w:t>
      </w:r>
      <w:r>
        <w:rPr>
          <w:rFonts w:hint="eastAsia" w:ascii="宋体" w:hAnsi="宋体" w:eastAsia="宋体" w:cs="宋体"/>
          <w:sz w:val="21"/>
          <w:szCs w:val="21"/>
        </w:rPr>
        <w:cr/>
      </w:r>
      <w:r>
        <w:rPr>
          <w:rFonts w:hint="eastAsia" w:ascii="宋体" w:hAnsi="宋体" w:eastAsia="宋体" w:cs="宋体"/>
          <w:sz w:val="21"/>
          <w:szCs w:val="21"/>
        </w:rPr>
        <w:t xml:space="preserve">    承包人对借土场（取土坑）、弃土场（弃渣场）以及其他临时用地须按照设计图纸或承包人自行调查确定，选取工作须报监理人审批、发包人同意，并履行相关职能部门的报批程序后，方可开展施工，所采取的复绿、复耕、排水及防护等措施须通过相关部门的环评、水保、土地等验收，承包人所采取的所有措施以及因此增加的费用应认为已包括在合同价中，发包人不另行支付。若承包人无视借、弃土场的环保、水保等的处理要求，发包人有权指定第三方专业施工队伍履行承包人的上述义务，因此所发生的所有费用将在承包人的计量款中直接扣除。</w:t>
      </w:r>
    </w:p>
    <w:p w14:paraId="73B3511E">
      <w:pPr>
        <w:tabs>
          <w:tab w:val="left" w:pos="2790"/>
        </w:tabs>
        <w:spacing w:line="360" w:lineRule="auto"/>
        <w:outlineLvl w:val="3"/>
        <w:rPr>
          <w:rFonts w:hint="eastAsia" w:ascii="宋体" w:hAnsi="宋体" w:eastAsia="宋体" w:cs="宋体"/>
          <w:sz w:val="21"/>
          <w:szCs w:val="21"/>
        </w:rPr>
      </w:pPr>
      <w:bookmarkStart w:id="277" w:name="_Toc154675102"/>
      <w:bookmarkStart w:id="278" w:name="_Toc27927"/>
      <w:r>
        <w:rPr>
          <w:rFonts w:hint="eastAsia" w:ascii="宋体" w:hAnsi="宋体" w:eastAsia="宋体" w:cs="宋体"/>
          <w:sz w:val="21"/>
          <w:szCs w:val="21"/>
        </w:rPr>
        <w:t>10. 进度计划</w:t>
      </w:r>
      <w:bookmarkEnd w:id="277"/>
      <w:bookmarkEnd w:id="278"/>
    </w:p>
    <w:p w14:paraId="02848EA7">
      <w:pPr>
        <w:tabs>
          <w:tab w:val="left" w:pos="2790"/>
        </w:tabs>
        <w:spacing w:line="360" w:lineRule="auto"/>
        <w:outlineLvl w:val="4"/>
        <w:rPr>
          <w:rFonts w:hint="eastAsia" w:ascii="宋体" w:hAnsi="宋体" w:eastAsia="宋体" w:cs="宋体"/>
          <w:sz w:val="21"/>
          <w:szCs w:val="21"/>
        </w:rPr>
      </w:pPr>
      <w:bookmarkStart w:id="279" w:name="_Toc154675103"/>
      <w:r>
        <w:rPr>
          <w:rFonts w:hint="eastAsia" w:ascii="宋体" w:hAnsi="宋体" w:eastAsia="宋体" w:cs="宋体"/>
          <w:sz w:val="21"/>
          <w:szCs w:val="21"/>
        </w:rPr>
        <w:t>10.1  合同进度计划</w:t>
      </w:r>
      <w:bookmarkEnd w:id="279"/>
    </w:p>
    <w:p w14:paraId="3494BCD9">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本款中</w:t>
      </w:r>
    </w:p>
    <w:p w14:paraId="28629DD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承包人编制施工方案的内容应包括（但不限于）：</w:t>
      </w:r>
    </w:p>
    <w:p w14:paraId="0C2CC81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（1）总体施工组织布置及规划</w:t>
      </w:r>
    </w:p>
    <w:p w14:paraId="001F0AA9">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（2）主要工程项目的施工方案、方法与技术措施（尤其对重点、关键和难点工程的施工方案、方法及其措施）</w:t>
      </w:r>
    </w:p>
    <w:p w14:paraId="2FEE7F9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（3）工期保证体系及保证措施</w:t>
      </w:r>
    </w:p>
    <w:p w14:paraId="02DF1759">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（4）工程质量管理体系及保证措施</w:t>
      </w:r>
    </w:p>
    <w:p w14:paraId="09577C6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（5）安全生产管理体系及保证措施</w:t>
      </w:r>
    </w:p>
    <w:p w14:paraId="7471D986">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（6）环境保护、水土保持保证体系及保证措施</w:t>
      </w:r>
    </w:p>
    <w:p w14:paraId="130CAECE">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（7）文明施工、文物保护保证体系及保证措施</w:t>
      </w:r>
    </w:p>
    <w:p w14:paraId="1C35A08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（8）项目风险预测与防范，事故应急预案</w:t>
      </w:r>
    </w:p>
    <w:p w14:paraId="22E3DE1E">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（9）其他应说明的事项以及相应的图表。</w:t>
      </w:r>
    </w:p>
    <w:p w14:paraId="40033CE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补充第10.5款：</w:t>
      </w:r>
    </w:p>
    <w:p w14:paraId="09301C89">
      <w:pPr>
        <w:tabs>
          <w:tab w:val="left" w:pos="2790"/>
        </w:tabs>
        <w:spacing w:line="360" w:lineRule="auto"/>
        <w:outlineLvl w:val="4"/>
        <w:rPr>
          <w:rFonts w:hint="eastAsia" w:ascii="宋体" w:hAnsi="宋体" w:eastAsia="宋体" w:cs="宋体"/>
          <w:sz w:val="21"/>
          <w:szCs w:val="21"/>
        </w:rPr>
      </w:pPr>
      <w:bookmarkStart w:id="280" w:name="_Toc154675104"/>
      <w:r>
        <w:rPr>
          <w:rFonts w:hint="eastAsia" w:ascii="宋体" w:hAnsi="宋体" w:eastAsia="宋体" w:cs="宋体"/>
          <w:sz w:val="21"/>
          <w:szCs w:val="21"/>
        </w:rPr>
        <w:t>10.5  季度计划、月度计划、旬计划</w:t>
      </w:r>
      <w:bookmarkEnd w:id="280"/>
    </w:p>
    <w:p w14:paraId="241B5E0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（1）季度计划</w:t>
      </w:r>
    </w:p>
    <w:p w14:paraId="2678507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在总体计划（年度计划）总体要求下编制季度计划，其格式统一按发包人批准后下发的填报要求执行。季度计划必须保持总体计划（年度计划）的实现。季度计划应在上一个季度的最后一个月的25日前提交给监理人。</w:t>
      </w:r>
    </w:p>
    <w:p w14:paraId="2C32D62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（2）月度计划</w:t>
      </w:r>
    </w:p>
    <w:p w14:paraId="77E998DF">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承包人在季度计划的要求下编制月度计划，其格式统一按发包人批准后下发的填报要求执行。月度计划必须保持季度计划的实现。月度计划如未能完成，应在文字介绍里详述原因，并在剩余工期中的下一阶段进度</w:t>
      </w:r>
      <w:r>
        <w:rPr>
          <w:rFonts w:hint="eastAsia" w:ascii="宋体" w:hAnsi="宋体" w:eastAsia="宋体" w:cs="宋体"/>
          <w:sz w:val="21"/>
          <w:szCs w:val="21"/>
          <w:lang w:val="en-US" w:eastAsia="zh-CN"/>
        </w:rPr>
        <w:t>计划</w:t>
      </w:r>
      <w:r>
        <w:rPr>
          <w:rFonts w:hint="eastAsia" w:ascii="宋体" w:hAnsi="宋体" w:eastAsia="宋体" w:cs="宋体"/>
          <w:sz w:val="21"/>
          <w:szCs w:val="21"/>
        </w:rPr>
        <w:t>中补回来，且详述补救措施。</w:t>
      </w:r>
    </w:p>
    <w:p w14:paraId="37C6ABE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（3）旬计划</w:t>
      </w:r>
    </w:p>
    <w:p w14:paraId="4932F4F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承包人应根据批复的月度计划编制旬计划，并按要求定期向发包人上报旬计划及完成情况汇报资料。</w:t>
      </w:r>
    </w:p>
    <w:p w14:paraId="3C72E57A">
      <w:pPr>
        <w:tabs>
          <w:tab w:val="left" w:pos="2790"/>
        </w:tabs>
        <w:spacing w:line="360" w:lineRule="auto"/>
        <w:outlineLvl w:val="3"/>
        <w:rPr>
          <w:rFonts w:hint="eastAsia" w:ascii="宋体" w:hAnsi="宋体" w:eastAsia="宋体" w:cs="宋体"/>
          <w:sz w:val="21"/>
          <w:szCs w:val="21"/>
        </w:rPr>
      </w:pPr>
      <w:bookmarkStart w:id="281" w:name="_Toc154675105"/>
      <w:bookmarkStart w:id="282" w:name="_Toc15094"/>
      <w:r>
        <w:rPr>
          <w:rFonts w:hint="eastAsia" w:ascii="宋体" w:hAnsi="宋体" w:eastAsia="宋体" w:cs="宋体"/>
          <w:sz w:val="21"/>
          <w:szCs w:val="21"/>
        </w:rPr>
        <w:t>11. 开工和交工</w:t>
      </w:r>
      <w:bookmarkEnd w:id="281"/>
      <w:bookmarkEnd w:id="282"/>
    </w:p>
    <w:p w14:paraId="25BAECAA">
      <w:pPr>
        <w:tabs>
          <w:tab w:val="left" w:pos="2790"/>
        </w:tabs>
        <w:spacing w:line="360" w:lineRule="auto"/>
        <w:outlineLvl w:val="4"/>
        <w:rPr>
          <w:rFonts w:hint="eastAsia" w:ascii="宋体" w:hAnsi="宋体" w:eastAsia="宋体" w:cs="宋体"/>
          <w:sz w:val="21"/>
          <w:szCs w:val="21"/>
        </w:rPr>
      </w:pPr>
      <w:bookmarkStart w:id="283" w:name="_Toc154675106"/>
      <w:r>
        <w:rPr>
          <w:rFonts w:hint="eastAsia" w:ascii="宋体" w:hAnsi="宋体" w:eastAsia="宋体" w:cs="宋体"/>
          <w:sz w:val="21"/>
          <w:szCs w:val="21"/>
        </w:rPr>
        <w:t>11.4  异常恶劣的气候条件</w:t>
      </w:r>
      <w:bookmarkEnd w:id="283"/>
    </w:p>
    <w:p w14:paraId="0E03B98A">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本款约定为：</w:t>
      </w:r>
    </w:p>
    <w:p w14:paraId="0B6CD5C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（1）异常恶劣的气候条件，对本项目而言，是指发生龙卷风、工地受淹、超过桥梁设计洪水位以及不利降水等引起延误的情况。</w:t>
      </w:r>
    </w:p>
    <w:p w14:paraId="2642AFF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（2）不利降水的衡量标准为：</w:t>
      </w:r>
    </w:p>
    <w:p w14:paraId="6E1249F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a.按本省气象部门统计的项目所在地降水资料，取最近二十年的年平均降水天数为标准；</w:t>
      </w:r>
    </w:p>
    <w:p w14:paraId="3239D42A">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b.按项目所在地实际统计的年降水天数与a所指的年降水天数之差，每年计算一次。</w:t>
      </w:r>
    </w:p>
    <w:p w14:paraId="42922E7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异常恶劣气候的时间，监理人将根据承包人的申请和提交的证明予以评定，但在评定时还将考虑按同等标准，用施工期限内其它月份良好的气候的时间予以抵补。恶劣气候在每个月对工程进度影响的评定，应在整个合同期内予以累计。</w:t>
      </w:r>
    </w:p>
    <w:p w14:paraId="0962800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（4）若恶劣气候只是对局部工程有影响，承包人应采取合同措施予以弥补，而不能推迟工程的总工期。</w:t>
      </w:r>
    </w:p>
    <w:p w14:paraId="231E252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（5）受本款所述的恶劣气候影响的分项工程，必须在工程施工进度网络计划的关键线路上，监理人方能考虑延长工程总工期。</w:t>
      </w:r>
    </w:p>
    <w:p w14:paraId="601FD048">
      <w:pPr>
        <w:tabs>
          <w:tab w:val="left" w:pos="2790"/>
        </w:tabs>
        <w:spacing w:line="360" w:lineRule="auto"/>
        <w:outlineLvl w:val="3"/>
        <w:rPr>
          <w:rFonts w:hint="eastAsia" w:ascii="宋体" w:hAnsi="宋体" w:eastAsia="宋体" w:cs="宋体"/>
          <w:sz w:val="21"/>
          <w:szCs w:val="21"/>
        </w:rPr>
      </w:pPr>
      <w:bookmarkStart w:id="284" w:name="_Toc196"/>
      <w:bookmarkStart w:id="285" w:name="_Toc154675107"/>
      <w:r>
        <w:rPr>
          <w:rFonts w:hint="eastAsia" w:ascii="宋体" w:hAnsi="宋体" w:eastAsia="宋体" w:cs="宋体"/>
          <w:sz w:val="21"/>
          <w:szCs w:val="21"/>
        </w:rPr>
        <w:t>12. 暂停施工</w:t>
      </w:r>
      <w:bookmarkEnd w:id="284"/>
      <w:bookmarkEnd w:id="285"/>
    </w:p>
    <w:p w14:paraId="4A781574">
      <w:pPr>
        <w:tabs>
          <w:tab w:val="left" w:pos="2790"/>
        </w:tabs>
        <w:spacing w:line="360" w:lineRule="auto"/>
        <w:outlineLvl w:val="4"/>
        <w:rPr>
          <w:rFonts w:hint="eastAsia" w:ascii="宋体" w:hAnsi="宋体" w:eastAsia="宋体" w:cs="宋体"/>
          <w:sz w:val="21"/>
          <w:szCs w:val="21"/>
        </w:rPr>
      </w:pPr>
      <w:bookmarkStart w:id="286" w:name="_Toc154675108"/>
      <w:r>
        <w:rPr>
          <w:rFonts w:hint="eastAsia" w:ascii="宋体" w:hAnsi="宋体" w:eastAsia="宋体" w:cs="宋体"/>
          <w:sz w:val="21"/>
          <w:szCs w:val="21"/>
        </w:rPr>
        <w:t>12.1  承包人暂停施工的责任</w:t>
      </w:r>
      <w:bookmarkEnd w:id="286"/>
    </w:p>
    <w:p w14:paraId="26BAC604">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本款第（6）项约定：</w:t>
      </w:r>
    </w:p>
    <w:p w14:paraId="2668F19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（6）由承包人承担的其他暂停施工：</w:t>
      </w:r>
      <w:r>
        <w:rPr>
          <w:rFonts w:hint="eastAsia" w:ascii="宋体" w:hAnsi="宋体" w:eastAsia="宋体" w:cs="宋体"/>
          <w:sz w:val="21"/>
          <w:szCs w:val="21"/>
          <w:u w:val="single"/>
        </w:rPr>
        <w:t xml:space="preserve">                      </w:t>
      </w:r>
    </w:p>
    <w:p w14:paraId="480CD9CD">
      <w:pPr>
        <w:tabs>
          <w:tab w:val="left" w:pos="2790"/>
        </w:tabs>
        <w:spacing w:line="360" w:lineRule="auto"/>
        <w:outlineLvl w:val="3"/>
        <w:rPr>
          <w:rFonts w:hint="eastAsia" w:ascii="宋体" w:hAnsi="宋体" w:eastAsia="宋体" w:cs="宋体"/>
          <w:sz w:val="21"/>
          <w:szCs w:val="21"/>
        </w:rPr>
      </w:pPr>
      <w:bookmarkStart w:id="287" w:name="_Toc26118"/>
      <w:bookmarkStart w:id="288" w:name="_Toc154675109"/>
      <w:r>
        <w:rPr>
          <w:rFonts w:hint="eastAsia" w:ascii="宋体" w:hAnsi="宋体" w:eastAsia="宋体" w:cs="宋体"/>
          <w:sz w:val="21"/>
          <w:szCs w:val="21"/>
        </w:rPr>
        <w:t>13. 工程质量</w:t>
      </w:r>
      <w:bookmarkEnd w:id="287"/>
      <w:bookmarkEnd w:id="288"/>
    </w:p>
    <w:p w14:paraId="7CE73450">
      <w:pPr>
        <w:tabs>
          <w:tab w:val="left" w:pos="2790"/>
        </w:tabs>
        <w:spacing w:line="360" w:lineRule="auto"/>
        <w:outlineLvl w:val="4"/>
        <w:rPr>
          <w:rFonts w:hint="eastAsia" w:ascii="宋体" w:hAnsi="宋体" w:eastAsia="宋体" w:cs="宋体"/>
          <w:sz w:val="21"/>
          <w:szCs w:val="21"/>
        </w:rPr>
      </w:pPr>
      <w:bookmarkStart w:id="289" w:name="_Toc154675110"/>
      <w:r>
        <w:rPr>
          <w:rFonts w:hint="eastAsia" w:ascii="宋体" w:hAnsi="宋体" w:eastAsia="宋体" w:cs="宋体"/>
          <w:sz w:val="21"/>
          <w:szCs w:val="21"/>
        </w:rPr>
        <w:t>13.1  工程质量要求</w:t>
      </w:r>
      <w:bookmarkEnd w:id="289"/>
    </w:p>
    <w:p w14:paraId="7FBC0AE2">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第13.1.1项约定为：</w:t>
      </w:r>
    </w:p>
    <w:p w14:paraId="000B322F">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工程质量验收按技术规范及《公路工程质量检验评定标准》执行。本工程的质量目标为：标段工程交工验收的质量评定：________；标段工程竣工验收的质量评定：________。</w:t>
      </w:r>
      <w:r>
        <w:rPr>
          <w:rStyle w:val="80"/>
          <w:rFonts w:hint="eastAsia" w:ascii="宋体" w:hAnsi="宋体" w:eastAsia="宋体" w:cs="宋体"/>
          <w:sz w:val="21"/>
          <w:szCs w:val="21"/>
          <w:vertAlign w:val="superscript"/>
        </w:rPr>
        <w:footnoteReference w:id="19"/>
      </w:r>
    </w:p>
    <w:p w14:paraId="464B0017">
      <w:pPr>
        <w:tabs>
          <w:tab w:val="left" w:pos="2790"/>
        </w:tabs>
        <w:spacing w:line="360" w:lineRule="auto"/>
        <w:outlineLvl w:val="4"/>
        <w:rPr>
          <w:rFonts w:hint="eastAsia" w:ascii="宋体" w:hAnsi="宋体" w:eastAsia="宋体" w:cs="宋体"/>
          <w:sz w:val="21"/>
          <w:szCs w:val="21"/>
        </w:rPr>
      </w:pPr>
      <w:bookmarkStart w:id="290" w:name="_Toc370143974"/>
      <w:bookmarkStart w:id="291" w:name="_Toc154675111"/>
      <w:bookmarkStart w:id="292" w:name="_Toc324338193"/>
      <w:bookmarkStart w:id="293" w:name="_Toc322539182"/>
      <w:r>
        <w:rPr>
          <w:rFonts w:hint="eastAsia" w:ascii="宋体" w:hAnsi="宋体" w:eastAsia="宋体" w:cs="宋体"/>
          <w:sz w:val="21"/>
          <w:szCs w:val="21"/>
        </w:rPr>
        <w:t>13.2  承包人的质量管理</w:t>
      </w:r>
      <w:bookmarkEnd w:id="290"/>
      <w:bookmarkEnd w:id="291"/>
    </w:p>
    <w:p w14:paraId="69208B7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第13.2.4项细化为：</w:t>
      </w:r>
    </w:p>
    <w:p w14:paraId="1814775A">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13.2.4承包人应当建立健全工程质量保证体系，制定质量管理制度，强化工程质量管理措施，完善工程质量目标保障机制；严格遵守国家有关法律、法规、规章及《浙江省交通建设工程质量和安全生产管理条例》，严格执行公路工程强制性技术标准、各类技术规范及规程，全面履行工程合同义务。</w:t>
      </w:r>
    </w:p>
    <w:p w14:paraId="2DDC3F3F">
      <w:pPr>
        <w:tabs>
          <w:tab w:val="left" w:pos="2790"/>
        </w:tabs>
        <w:spacing w:line="360" w:lineRule="auto"/>
        <w:outlineLvl w:val="4"/>
        <w:rPr>
          <w:rFonts w:hint="eastAsia" w:ascii="宋体" w:hAnsi="宋体" w:eastAsia="宋体" w:cs="宋体"/>
          <w:sz w:val="21"/>
          <w:szCs w:val="21"/>
        </w:rPr>
      </w:pPr>
      <w:bookmarkStart w:id="294" w:name="_Toc370143975"/>
      <w:bookmarkStart w:id="295" w:name="_Toc154675112"/>
      <w:r>
        <w:rPr>
          <w:rFonts w:hint="eastAsia" w:ascii="宋体" w:hAnsi="宋体" w:eastAsia="宋体" w:cs="宋体"/>
          <w:sz w:val="21"/>
          <w:szCs w:val="21"/>
        </w:rPr>
        <w:t>13.5  工程隐蔽部位覆盖前的检查</w:t>
      </w:r>
      <w:bookmarkEnd w:id="292"/>
      <w:bookmarkEnd w:id="293"/>
      <w:bookmarkEnd w:id="294"/>
      <w:bookmarkEnd w:id="295"/>
    </w:p>
    <w:p w14:paraId="0E5B9C5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第13.5.1项补充：</w:t>
      </w:r>
    </w:p>
    <w:p w14:paraId="2516E82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隐蔽工程覆盖前应经监理人检查签认，分阶段（工序）进行摄像或照相，并向监理人提供相关资料作为计量支付的依据。</w:t>
      </w:r>
    </w:p>
    <w:p w14:paraId="4EAB7018">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补充第13.7款：</w:t>
      </w:r>
    </w:p>
    <w:p w14:paraId="7FA6DF8E">
      <w:pPr>
        <w:tabs>
          <w:tab w:val="left" w:pos="2790"/>
        </w:tabs>
        <w:spacing w:line="360" w:lineRule="auto"/>
        <w:outlineLvl w:val="4"/>
        <w:rPr>
          <w:rFonts w:hint="eastAsia" w:ascii="宋体" w:hAnsi="宋体" w:eastAsia="宋体" w:cs="宋体"/>
          <w:sz w:val="21"/>
          <w:szCs w:val="21"/>
        </w:rPr>
      </w:pPr>
      <w:bookmarkStart w:id="296" w:name="_Toc322539183"/>
      <w:bookmarkStart w:id="297" w:name="_Toc154675113"/>
      <w:bookmarkStart w:id="298" w:name="_Toc370143976"/>
      <w:bookmarkStart w:id="299" w:name="_Toc324338194"/>
      <w:r>
        <w:rPr>
          <w:rFonts w:hint="eastAsia" w:ascii="宋体" w:hAnsi="宋体" w:eastAsia="宋体" w:cs="宋体"/>
          <w:sz w:val="21"/>
          <w:szCs w:val="21"/>
        </w:rPr>
        <w:t>13.7  质量抽检</w:t>
      </w:r>
      <w:bookmarkEnd w:id="296"/>
      <w:bookmarkEnd w:id="297"/>
      <w:bookmarkEnd w:id="298"/>
      <w:bookmarkEnd w:id="299"/>
    </w:p>
    <w:p w14:paraId="05B608C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管交通工程质量监督机构有权对承包人施工质量随时进行抽检，并通过监理人对工程质量实施否决，承包人应积极配合并免费提供试验用的试件。承包人为配合上述工作发生的材料、机械、人员及试验和检验等费用不另行支付。</w:t>
      </w:r>
    </w:p>
    <w:p w14:paraId="70910148">
      <w:pPr>
        <w:tabs>
          <w:tab w:val="left" w:pos="2790"/>
        </w:tabs>
        <w:spacing w:line="360" w:lineRule="auto"/>
        <w:outlineLvl w:val="3"/>
        <w:rPr>
          <w:rFonts w:hint="eastAsia" w:ascii="宋体" w:hAnsi="宋体" w:eastAsia="宋体" w:cs="宋体"/>
          <w:sz w:val="21"/>
          <w:szCs w:val="21"/>
        </w:rPr>
      </w:pPr>
      <w:bookmarkStart w:id="300" w:name="_Toc154675114"/>
      <w:bookmarkStart w:id="301" w:name="_Toc881"/>
      <w:r>
        <w:rPr>
          <w:rFonts w:hint="eastAsia" w:ascii="宋体" w:hAnsi="宋体" w:eastAsia="宋体" w:cs="宋体"/>
          <w:sz w:val="21"/>
          <w:szCs w:val="21"/>
        </w:rPr>
        <w:t>14. 试验和检验</w:t>
      </w:r>
      <w:bookmarkEnd w:id="300"/>
      <w:bookmarkEnd w:id="301"/>
    </w:p>
    <w:p w14:paraId="624494F2">
      <w:pPr>
        <w:tabs>
          <w:tab w:val="left" w:pos="2790"/>
        </w:tabs>
        <w:spacing w:line="360" w:lineRule="auto"/>
        <w:outlineLvl w:val="4"/>
        <w:rPr>
          <w:rFonts w:hint="eastAsia" w:ascii="宋体" w:hAnsi="宋体" w:eastAsia="宋体" w:cs="宋体"/>
          <w:sz w:val="21"/>
          <w:szCs w:val="21"/>
        </w:rPr>
      </w:pPr>
      <w:bookmarkStart w:id="302" w:name="_Toc154675115"/>
      <w:r>
        <w:rPr>
          <w:rFonts w:hint="eastAsia" w:ascii="宋体" w:hAnsi="宋体" w:eastAsia="宋体" w:cs="宋体"/>
          <w:sz w:val="21"/>
          <w:szCs w:val="21"/>
        </w:rPr>
        <w:t>14.1  材料、工程设备和工程的试验和检验</w:t>
      </w:r>
      <w:bookmarkEnd w:id="302"/>
    </w:p>
    <w:p w14:paraId="112721F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第14.1.3项细化为：</w:t>
      </w:r>
    </w:p>
    <w:p w14:paraId="4789DF4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14.1.3监理人对承包人的试验和检验结果有疑问的，或为查清承包人试验和检验成果的可靠性要求承包人重新试验和检验的，可按合同约定由监理人与承包人共同进行，或由监理人委托给第三方独立的检验单位，该检验单位必须具有省级及以上市场监督管理部门的认定资格。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21EF004">
      <w:pPr>
        <w:tabs>
          <w:tab w:val="left" w:pos="2790"/>
        </w:tabs>
        <w:spacing w:line="360" w:lineRule="auto"/>
        <w:outlineLvl w:val="3"/>
        <w:rPr>
          <w:rFonts w:hint="eastAsia" w:ascii="宋体" w:hAnsi="宋体" w:eastAsia="宋体" w:cs="宋体"/>
          <w:sz w:val="21"/>
          <w:szCs w:val="21"/>
        </w:rPr>
      </w:pPr>
      <w:bookmarkStart w:id="303" w:name="_Toc154675116"/>
      <w:bookmarkStart w:id="304" w:name="_Toc12301"/>
      <w:r>
        <w:rPr>
          <w:rFonts w:hint="eastAsia" w:ascii="宋体" w:hAnsi="宋体" w:eastAsia="宋体" w:cs="宋体"/>
          <w:sz w:val="21"/>
          <w:szCs w:val="21"/>
        </w:rPr>
        <w:t>15. 变更</w:t>
      </w:r>
      <w:bookmarkEnd w:id="303"/>
      <w:bookmarkEnd w:id="304"/>
    </w:p>
    <w:p w14:paraId="2C944825">
      <w:pPr>
        <w:tabs>
          <w:tab w:val="left" w:pos="2790"/>
        </w:tabs>
        <w:spacing w:line="360" w:lineRule="auto"/>
        <w:outlineLvl w:val="4"/>
        <w:rPr>
          <w:rFonts w:hint="eastAsia" w:ascii="宋体" w:hAnsi="宋体" w:eastAsia="宋体" w:cs="宋体"/>
          <w:sz w:val="21"/>
          <w:szCs w:val="21"/>
        </w:rPr>
      </w:pPr>
      <w:bookmarkStart w:id="305" w:name="_Toc154675117"/>
      <w:bookmarkStart w:id="306" w:name="_Toc397692066"/>
      <w:bookmarkStart w:id="307" w:name="_Toc324338198"/>
      <w:bookmarkStart w:id="308" w:name="_Toc403992001"/>
      <w:bookmarkStart w:id="309" w:name="_Toc322539187"/>
      <w:r>
        <w:rPr>
          <w:rFonts w:hint="eastAsia" w:ascii="宋体" w:hAnsi="宋体" w:eastAsia="宋体" w:cs="宋体"/>
          <w:sz w:val="21"/>
          <w:szCs w:val="21"/>
        </w:rPr>
        <w:t>15.3  变更程序</w:t>
      </w:r>
      <w:bookmarkEnd w:id="305"/>
      <w:bookmarkEnd w:id="306"/>
      <w:bookmarkEnd w:id="307"/>
      <w:bookmarkEnd w:id="308"/>
      <w:bookmarkEnd w:id="309"/>
    </w:p>
    <w:p w14:paraId="46D1039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第15.3.4项细化为：</w:t>
      </w:r>
    </w:p>
    <w:p w14:paraId="159BBE77">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15.3.4设计变更程序应执行交通运输部《公路工程设计变更管理办法》</w:t>
      </w:r>
      <w:r>
        <w:rPr>
          <w:rFonts w:hint="eastAsia" w:ascii="宋体" w:hAnsi="宋体"/>
          <w:szCs w:val="21"/>
        </w:rPr>
        <w:t>（交通运输部令2005年第5号）</w:t>
      </w:r>
      <w:r>
        <w:rPr>
          <w:rFonts w:hint="eastAsia" w:ascii="宋体" w:hAnsi="宋体" w:eastAsia="宋体" w:cs="宋体"/>
          <w:sz w:val="21"/>
          <w:szCs w:val="21"/>
          <w:lang w:eastAsia="zh-CN"/>
        </w:rPr>
        <w:t>、</w:t>
      </w:r>
      <w:r>
        <w:rPr>
          <w:rFonts w:hint="eastAsia" w:ascii="宋体" w:hAnsi="宋体" w:eastAsia="宋体" w:cs="宋体"/>
          <w:sz w:val="21"/>
          <w:szCs w:val="21"/>
        </w:rPr>
        <w:t>浙江省交通运输厅《关于进一步加强我省高速公路工程重大较大设计变更管理的通知》</w:t>
      </w:r>
      <w:r>
        <w:rPr>
          <w:rFonts w:hint="eastAsia" w:ascii="宋体" w:hAnsi="宋体"/>
          <w:szCs w:val="21"/>
        </w:rPr>
        <w:t>（</w:t>
      </w:r>
      <w:r>
        <w:rPr>
          <w:rFonts w:hint="eastAsia" w:ascii="宋体" w:hAnsi="宋体" w:eastAsia="宋体" w:cs="宋体"/>
          <w:sz w:val="21"/>
          <w:szCs w:val="21"/>
        </w:rPr>
        <w:t>浙交﹝20</w:t>
      </w:r>
      <w:r>
        <w:rPr>
          <w:rFonts w:hint="eastAsia" w:ascii="宋体" w:hAnsi="宋体" w:cs="宋体"/>
          <w:sz w:val="21"/>
          <w:szCs w:val="21"/>
          <w:lang w:val="en-US" w:eastAsia="zh-CN"/>
        </w:rPr>
        <w:t>09</w:t>
      </w:r>
      <w:r>
        <w:rPr>
          <w:rFonts w:hint="eastAsia" w:ascii="宋体" w:hAnsi="宋体" w:eastAsia="宋体" w:cs="宋体"/>
          <w:sz w:val="21"/>
          <w:szCs w:val="21"/>
        </w:rPr>
        <w:t>﹞</w:t>
      </w:r>
      <w:r>
        <w:rPr>
          <w:rFonts w:hint="eastAsia" w:ascii="宋体" w:hAnsi="宋体" w:cs="宋体"/>
          <w:sz w:val="21"/>
          <w:szCs w:val="21"/>
          <w:lang w:val="en-US" w:eastAsia="zh-CN"/>
        </w:rPr>
        <w:t>151</w:t>
      </w:r>
      <w:r>
        <w:rPr>
          <w:rFonts w:hint="eastAsia" w:ascii="宋体" w:hAnsi="宋体" w:eastAsia="宋体" w:cs="宋体"/>
          <w:sz w:val="21"/>
          <w:szCs w:val="21"/>
        </w:rPr>
        <w:t>号</w:t>
      </w:r>
      <w:r>
        <w:rPr>
          <w:rFonts w:hint="eastAsia" w:ascii="宋体" w:hAnsi="宋体"/>
          <w:szCs w:val="21"/>
        </w:rPr>
        <w:t>）</w:t>
      </w:r>
      <w:r>
        <w:rPr>
          <w:rFonts w:hint="eastAsia" w:ascii="宋体" w:hAnsi="宋体" w:eastAsia="宋体" w:cs="宋体"/>
          <w:sz w:val="21"/>
          <w:szCs w:val="21"/>
        </w:rPr>
        <w:t>和泰顺县人民政府《关于印发泰顺县公路工程建设项目设计变更管理办法》（泰政办〔2022〕7号）的相关规定和要求。</w:t>
      </w:r>
      <w:r>
        <w:rPr>
          <w:rStyle w:val="80"/>
          <w:rFonts w:hint="eastAsia" w:ascii="宋体" w:hAnsi="宋体" w:eastAsia="宋体" w:cs="宋体"/>
          <w:sz w:val="21"/>
          <w:szCs w:val="21"/>
          <w:vertAlign w:val="superscript"/>
        </w:rPr>
        <w:footnoteReference w:id="20"/>
      </w:r>
    </w:p>
    <w:p w14:paraId="1251749B">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15.3.4设计变更程序应执行交通运输部《公路工程设计变更管理办法》（交通运输部令2005年第5号）、浙江省交通运输厅《关于印发&lt;浙江省普通国省道干线公路工程设计变更管理实施细则&gt;的通知》（浙交﹝2017﹞34号）和泰顺县人民政府《关于印发泰顺县公路工程建设项目设计变更管理办法》（泰政办〔2022〕7号）等的相关规定和要求。</w:t>
      </w:r>
      <w:r>
        <w:rPr>
          <w:rStyle w:val="80"/>
          <w:rFonts w:hint="eastAsia" w:ascii="宋体" w:hAnsi="宋体" w:eastAsia="宋体" w:cs="宋体"/>
          <w:sz w:val="21"/>
          <w:szCs w:val="21"/>
          <w:vertAlign w:val="superscript"/>
        </w:rPr>
        <w:footnoteReference w:id="21"/>
      </w:r>
    </w:p>
    <w:p w14:paraId="167547E1">
      <w:pPr>
        <w:tabs>
          <w:tab w:val="left" w:pos="2790"/>
        </w:tabs>
        <w:spacing w:line="360" w:lineRule="auto"/>
        <w:outlineLvl w:val="4"/>
        <w:rPr>
          <w:rFonts w:hint="eastAsia" w:ascii="宋体" w:hAnsi="宋体" w:eastAsia="宋体" w:cs="宋体"/>
          <w:sz w:val="21"/>
          <w:szCs w:val="21"/>
        </w:rPr>
      </w:pPr>
      <w:bookmarkStart w:id="310" w:name="_Toc154675118"/>
      <w:r>
        <w:rPr>
          <w:rFonts w:hint="eastAsia" w:ascii="宋体" w:hAnsi="宋体" w:eastAsia="宋体" w:cs="宋体"/>
          <w:sz w:val="21"/>
          <w:szCs w:val="21"/>
        </w:rPr>
        <w:t>15.4  变更的估价原则</w:t>
      </w:r>
      <w:bookmarkEnd w:id="310"/>
    </w:p>
    <w:p w14:paraId="509A6989">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第15.4.4项细化为：</w:t>
      </w:r>
    </w:p>
    <w:p w14:paraId="768A3816">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15.4.4已标价工程量清单中无适用或类似子目的单价，按以下原则进行组价：</w:t>
      </w:r>
    </w:p>
    <w:p w14:paraId="061B43DC">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按交通运输部《公路工程建设项目概算预算编制办法》（JTG3830—2018）、《公路工程预算定额》（JTG/T3832-2018）、《公路工程机械台班费用定额》（JTG/T3833-2018）、浙江省交通运输厅《转发交通运输部2018年第86号公告的通知》、《财政部税务总局海关总署关于深化增值税改革有关政策的公告》等有关文件及浙江省补充定额进行组价；取费时施工场地建设费和安全生产费不得计取。</w:t>
      </w:r>
    </w:p>
    <w:p w14:paraId="242B5BCD">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无法套用上述定额和取费标准的，借用水运、市政、水利、铁路、建筑定额消耗，参照公路组价办法进行组价。上述定额有区域性的，优先适用浙江定额与取费标准。若仍难以确定变更单价，可按照实际的施工工艺经测算后合理确定工料机消耗量进行组价。</w:t>
      </w:r>
    </w:p>
    <w:p w14:paraId="5F455DAF">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（3）组价时，材料、机械台班单价按温州市交通工程管理中心发布的《温州市公路水运工程材料价格信息》（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月）上的除税信息价计算（钢材、水泥、地材采用泰顺县除税信息价，外购材料价格采用温州市交通工程管理中心发布的《温州市公路水运工程材料价格信息》（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月）除税信息价，沥青采用中石油燃料有限责任公司温州分公司价格信息国产除税信息价，交通安全设施制品采用温州市交通工程管理中心发布的《温州市公路水运工程材料价格信息》（</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月）中交通安全设施制品价格信息中对应材料名称除税信息价），汽油、柴油采用浙江省发展和改革委员会</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日发布的《浙江省汽、柴油最高批发、零售价格表》；《温州市公路水运工程材料价格信息》（</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月）中也无信息价的，参考同期《泰顺县工程造价信息》中的除税信息价；《泰顺县工程造价信息》中也无信息价的，由承包人、监理人、发包人询价确定。</w:t>
      </w:r>
    </w:p>
    <w:p w14:paraId="2B8E0150">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（4）根据上述原则组价的综合单价，乘以承包人的</w:t>
      </w:r>
      <w:r>
        <w:rPr>
          <w:rFonts w:hint="eastAsia" w:ascii="宋体" w:hAnsi="宋体" w:eastAsia="宋体" w:cs="宋体"/>
          <w:sz w:val="21"/>
          <w:szCs w:val="21"/>
          <w:lang w:eastAsia="zh-CN"/>
        </w:rPr>
        <w:t>竞包</w:t>
      </w:r>
      <w:r>
        <w:rPr>
          <w:rFonts w:hint="eastAsia" w:ascii="宋体" w:hAnsi="宋体" w:cs="宋体"/>
          <w:sz w:val="21"/>
          <w:szCs w:val="21"/>
          <w:lang w:val="en-US" w:eastAsia="zh-CN"/>
        </w:rPr>
        <w:t>函中所报的下浮</w:t>
      </w:r>
      <w:r>
        <w:rPr>
          <w:rFonts w:hint="eastAsia" w:ascii="宋体" w:hAnsi="宋体" w:eastAsia="宋体" w:cs="宋体"/>
          <w:sz w:val="21"/>
          <w:szCs w:val="21"/>
        </w:rPr>
        <w:t>的比例，作为该子目的单价。</w:t>
      </w:r>
    </w:p>
    <w:p w14:paraId="11A4871B">
      <w:pPr>
        <w:tabs>
          <w:tab w:val="left" w:pos="2790"/>
        </w:tabs>
        <w:spacing w:line="360" w:lineRule="auto"/>
        <w:outlineLvl w:val="3"/>
        <w:rPr>
          <w:rFonts w:hint="eastAsia" w:ascii="宋体" w:hAnsi="宋体" w:eastAsia="宋体" w:cs="宋体"/>
          <w:sz w:val="21"/>
          <w:szCs w:val="21"/>
        </w:rPr>
      </w:pPr>
      <w:bookmarkStart w:id="311" w:name="_Toc5711"/>
      <w:bookmarkStart w:id="312" w:name="_Toc154675119"/>
      <w:r>
        <w:rPr>
          <w:rFonts w:hint="eastAsia" w:ascii="宋体" w:hAnsi="宋体" w:eastAsia="宋体" w:cs="宋体"/>
          <w:sz w:val="21"/>
          <w:szCs w:val="21"/>
        </w:rPr>
        <w:t>16. 价格调整</w:t>
      </w:r>
      <w:bookmarkEnd w:id="311"/>
      <w:bookmarkEnd w:id="312"/>
    </w:p>
    <w:p w14:paraId="41FC449D">
      <w:pPr>
        <w:tabs>
          <w:tab w:val="left" w:pos="2790"/>
        </w:tabs>
        <w:spacing w:line="360" w:lineRule="auto"/>
        <w:outlineLvl w:val="4"/>
        <w:rPr>
          <w:rFonts w:hint="eastAsia" w:ascii="宋体" w:hAnsi="宋体" w:eastAsia="宋体" w:cs="宋体"/>
          <w:sz w:val="21"/>
          <w:szCs w:val="21"/>
        </w:rPr>
      </w:pPr>
      <w:bookmarkStart w:id="313" w:name="_Toc154675120"/>
      <w:r>
        <w:rPr>
          <w:rFonts w:hint="eastAsia" w:ascii="宋体" w:hAnsi="宋体" w:eastAsia="宋体" w:cs="宋体"/>
          <w:sz w:val="21"/>
          <w:szCs w:val="21"/>
        </w:rPr>
        <w:t>16.1  物价波动引起的价格调整</w:t>
      </w:r>
      <w:bookmarkEnd w:id="313"/>
    </w:p>
    <w:p w14:paraId="1CDB671E">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第16.1.2项约定为：</w:t>
      </w:r>
    </w:p>
    <w:p w14:paraId="139CED73">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16.1.2  采用造价信息调整价格差额</w:t>
      </w:r>
    </w:p>
    <w:p w14:paraId="24297118">
      <w:pPr>
        <w:tabs>
          <w:tab w:val="left" w:pos="279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在本合同执行期间，对用于永久性工程的</w:t>
      </w:r>
      <w:r>
        <w:rPr>
          <w:rFonts w:hint="eastAsia" w:ascii="宋体" w:hAnsi="宋体" w:eastAsia="宋体" w:cs="宋体"/>
          <w:sz w:val="21"/>
          <w:szCs w:val="21"/>
          <w:u w:val="single"/>
        </w:rPr>
        <w:t xml:space="preserve">                             </w:t>
      </w:r>
      <w:r>
        <w:rPr>
          <w:rStyle w:val="80"/>
          <w:rFonts w:hint="eastAsia" w:ascii="宋体" w:hAnsi="宋体" w:eastAsia="宋体" w:cs="宋体"/>
          <w:sz w:val="21"/>
          <w:szCs w:val="21"/>
          <w:vertAlign w:val="superscript"/>
        </w:rPr>
        <w:footnoteReference w:id="22"/>
      </w:r>
      <w:r>
        <w:rPr>
          <w:rFonts w:hint="eastAsia" w:ascii="宋体" w:hAnsi="宋体" w:eastAsia="宋体" w:cs="宋体"/>
          <w:sz w:val="21"/>
          <w:szCs w:val="21"/>
        </w:rPr>
        <w:t>进行价格调差。具体范围为：</w:t>
      </w:r>
    </w:p>
    <w:tbl>
      <w:tblPr>
        <w:tblStyle w:val="45"/>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4646"/>
        <w:gridCol w:w="3102"/>
      </w:tblGrid>
      <w:tr w14:paraId="501A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7C22A65A">
            <w:pPr>
              <w:keepNext w:val="0"/>
              <w:keepLines w:val="0"/>
              <w:pageBreakBefore w:val="0"/>
              <w:widowControl w:val="0"/>
              <w:tabs>
                <w:tab w:val="left" w:pos="2790"/>
              </w:tabs>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序</w:t>
            </w:r>
            <w:r>
              <w:rPr>
                <w:rFonts w:hint="eastAsia" w:ascii="宋体" w:hAnsi="宋体" w:eastAsia="宋体" w:cs="宋体"/>
                <w:sz w:val="21"/>
                <w:szCs w:val="21"/>
                <w:lang w:val="en-US" w:eastAsia="zh-CN"/>
              </w:rPr>
              <w:t>号</w:t>
            </w:r>
          </w:p>
        </w:tc>
        <w:tc>
          <w:tcPr>
            <w:tcW w:w="4646" w:type="dxa"/>
          </w:tcPr>
          <w:p w14:paraId="3D519FBB">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清单子目</w:t>
            </w:r>
          </w:p>
        </w:tc>
        <w:tc>
          <w:tcPr>
            <w:tcW w:w="3102" w:type="dxa"/>
          </w:tcPr>
          <w:p w14:paraId="38715703">
            <w:pPr>
              <w:keepNext w:val="0"/>
              <w:keepLines w:val="0"/>
              <w:pageBreakBefore w:val="0"/>
              <w:widowControl w:val="0"/>
              <w:tabs>
                <w:tab w:val="left" w:pos="279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调差内容</w:t>
            </w:r>
          </w:p>
        </w:tc>
      </w:tr>
      <w:tr w14:paraId="054A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050951A3">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46" w:type="dxa"/>
          </w:tcPr>
          <w:p w14:paraId="218AC35D">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第200章所有子目（含变更增加子目）</w:t>
            </w:r>
          </w:p>
        </w:tc>
        <w:tc>
          <w:tcPr>
            <w:tcW w:w="3102" w:type="dxa"/>
          </w:tcPr>
          <w:p w14:paraId="128C9DC7">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宕渣、……</w:t>
            </w:r>
          </w:p>
        </w:tc>
      </w:tr>
      <w:tr w14:paraId="562A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4F412C54">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646" w:type="dxa"/>
          </w:tcPr>
          <w:p w14:paraId="30DDB96E">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第300章所有子目（含变更增加子目）</w:t>
            </w:r>
          </w:p>
        </w:tc>
        <w:tc>
          <w:tcPr>
            <w:tcW w:w="3102" w:type="dxa"/>
          </w:tcPr>
          <w:p w14:paraId="1DE33F87">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碎石、沥青、……</w:t>
            </w:r>
          </w:p>
        </w:tc>
      </w:tr>
      <w:tr w14:paraId="6F81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46B6B73C">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4646" w:type="dxa"/>
          </w:tcPr>
          <w:p w14:paraId="45C18DE8">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第400章所有子目（含变更增加子目）</w:t>
            </w:r>
          </w:p>
        </w:tc>
        <w:tc>
          <w:tcPr>
            <w:tcW w:w="3102" w:type="dxa"/>
          </w:tcPr>
          <w:p w14:paraId="799A123C">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钢筋、水泥、钢绞线、……</w:t>
            </w:r>
          </w:p>
        </w:tc>
      </w:tr>
      <w:tr w14:paraId="356B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Pr>
          <w:p w14:paraId="006C2B89">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646" w:type="dxa"/>
          </w:tcPr>
          <w:p w14:paraId="7DCBC1A2">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3102" w:type="dxa"/>
          </w:tcPr>
          <w:p w14:paraId="5953822D">
            <w:pPr>
              <w:keepNext w:val="0"/>
              <w:keepLines w:val="0"/>
              <w:pageBreakBefore w:val="0"/>
              <w:widowControl w:val="0"/>
              <w:tabs>
                <w:tab w:val="left" w:pos="279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bl>
    <w:p w14:paraId="2C198CF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（1）基期价格</w:t>
      </w:r>
      <w:r>
        <w:rPr>
          <w:rStyle w:val="80"/>
          <w:rFonts w:hint="eastAsia" w:ascii="宋体" w:hAnsi="宋体" w:eastAsia="宋体" w:cs="宋体"/>
          <w:sz w:val="21"/>
          <w:szCs w:val="21"/>
          <w:vertAlign w:val="superscript"/>
        </w:rPr>
        <w:footnoteReference w:id="23"/>
      </w:r>
    </w:p>
    <w:p w14:paraId="3B52BB3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525" w:firstLineChars="25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p>
    <w:p w14:paraId="07B02C8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（2）当期价格</w:t>
      </w:r>
    </w:p>
    <w:p w14:paraId="6964DC21">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承包人计量申报日期前一个月项目所在地的信息价平均值（</w:t>
      </w:r>
      <w:r>
        <w:rPr>
          <w:rFonts w:hint="eastAsia" w:ascii="宋体" w:hAnsi="宋体" w:eastAsia="宋体" w:cs="宋体"/>
          <w:sz w:val="21"/>
          <w:szCs w:val="21"/>
          <w:lang w:val="en-US" w:eastAsia="zh-CN"/>
        </w:rPr>
        <w:t>温州市</w:t>
      </w:r>
      <w:r>
        <w:rPr>
          <w:rFonts w:hint="eastAsia" w:ascii="宋体" w:hAnsi="宋体" w:eastAsia="宋体" w:cs="宋体"/>
          <w:sz w:val="21"/>
          <w:szCs w:val="21"/>
        </w:rPr>
        <w:t>交通工程管理中心发布的《温州市公路水运工程材料价格信息》中</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泰顺县</w:t>
      </w:r>
      <w:r>
        <w:rPr>
          <w:rFonts w:hint="eastAsia" w:ascii="宋体" w:hAnsi="宋体" w:eastAsia="宋体" w:cs="宋体"/>
          <w:sz w:val="21"/>
          <w:szCs w:val="21"/>
        </w:rPr>
        <w:t>信息价）为当期价格。</w:t>
      </w:r>
    </w:p>
    <w:p w14:paraId="5DE3849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（3）调差方法</w:t>
      </w:r>
    </w:p>
    <w:p w14:paraId="36BA122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a.数量</w:t>
      </w:r>
    </w:p>
    <w:p w14:paraId="1000FA59">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根据计量的数量，</w:t>
      </w:r>
      <w:r>
        <w:rPr>
          <w:rFonts w:hint="eastAsia" w:ascii="宋体" w:hAnsi="宋体" w:eastAsia="宋体" w:cs="宋体"/>
          <w:sz w:val="21"/>
          <w:szCs w:val="21"/>
          <w:u w:val="single"/>
        </w:rPr>
        <w:t xml:space="preserve">                     </w:t>
      </w:r>
      <w:r>
        <w:rPr>
          <w:rFonts w:hint="eastAsia" w:ascii="宋体" w:hAnsi="宋体" w:eastAsia="宋体" w:cs="宋体"/>
          <w:sz w:val="21"/>
          <w:szCs w:val="21"/>
        </w:rPr>
        <w:t>根据《公路工程预算定额》及补充定额消耗量进行计算。</w:t>
      </w:r>
    </w:p>
    <w:p w14:paraId="7CCBB86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b.差价：差价＝当期价格—基期价格。</w:t>
      </w:r>
    </w:p>
    <w:p w14:paraId="2C8A7A4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c.调整差价</w:t>
      </w:r>
    </w:p>
    <w:p w14:paraId="68666A7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若差价不超过基期价格的±</w:t>
      </w:r>
      <w:r>
        <w:rPr>
          <w:rFonts w:hint="eastAsia" w:ascii="宋体" w:hAnsi="宋体" w:eastAsia="宋体" w:cs="宋体"/>
          <w:sz w:val="21"/>
          <w:szCs w:val="21"/>
          <w:u w:val="single"/>
        </w:rPr>
        <w:t>5</w:t>
      </w:r>
      <w:r>
        <w:rPr>
          <w:rFonts w:hint="eastAsia" w:ascii="宋体" w:hAnsi="宋体" w:eastAsia="宋体" w:cs="宋体"/>
          <w:sz w:val="21"/>
          <w:szCs w:val="21"/>
        </w:rPr>
        <w:t>％（含），则不进行调差，若差价超过基期价格的±</w:t>
      </w:r>
      <w:r>
        <w:rPr>
          <w:rFonts w:hint="eastAsia" w:ascii="宋体" w:hAnsi="宋体" w:eastAsia="宋体" w:cs="宋体"/>
          <w:sz w:val="21"/>
          <w:szCs w:val="21"/>
          <w:u w:val="single"/>
        </w:rPr>
        <w:t>5</w:t>
      </w:r>
      <w:r>
        <w:rPr>
          <w:rFonts w:hint="eastAsia" w:ascii="宋体" w:hAnsi="宋体" w:eastAsia="宋体" w:cs="宋体"/>
          <w:sz w:val="21"/>
          <w:szCs w:val="21"/>
        </w:rPr>
        <w:t>％，则进行调差，调整差价为差价超过±</w:t>
      </w:r>
      <w:r>
        <w:rPr>
          <w:rFonts w:hint="eastAsia" w:ascii="宋体" w:hAnsi="宋体" w:eastAsia="宋体" w:cs="宋体"/>
          <w:sz w:val="21"/>
          <w:szCs w:val="21"/>
          <w:u w:val="single"/>
        </w:rPr>
        <w:t>5</w:t>
      </w:r>
      <w:r>
        <w:rPr>
          <w:rFonts w:hint="eastAsia" w:ascii="宋体" w:hAnsi="宋体" w:eastAsia="宋体" w:cs="宋体"/>
          <w:sz w:val="21"/>
          <w:szCs w:val="21"/>
        </w:rPr>
        <w:t>％部分。</w:t>
      </w:r>
    </w:p>
    <w:p w14:paraId="4C6B836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（4）调差周期</w:t>
      </w:r>
    </w:p>
    <w:p w14:paraId="6AA9B68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施工过程中每月调整一次，以当月计量工程量为准，在当月份的进度付款证书中反映。</w:t>
      </w:r>
    </w:p>
    <w:p w14:paraId="18CE8654">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（5）调差程序</w:t>
      </w:r>
    </w:p>
    <w:p w14:paraId="653A918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由承包人提出价格调差计算表，报监理人审核，由发包人审定。</w:t>
      </w:r>
    </w:p>
    <w:p w14:paraId="64AD99E8">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 发包人仅对上述材料价格进行调差，其他费用不再调整。</w:t>
      </w:r>
    </w:p>
    <w:p w14:paraId="0FB33529">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3"/>
        <w:rPr>
          <w:rFonts w:hint="eastAsia" w:ascii="宋体" w:hAnsi="宋体" w:eastAsia="宋体" w:cs="宋体"/>
          <w:sz w:val="21"/>
          <w:szCs w:val="21"/>
        </w:rPr>
      </w:pPr>
      <w:bookmarkStart w:id="314" w:name="_Toc154675121"/>
      <w:bookmarkStart w:id="315" w:name="_Toc28479"/>
      <w:r>
        <w:rPr>
          <w:rFonts w:hint="eastAsia" w:ascii="宋体" w:hAnsi="宋体" w:eastAsia="宋体" w:cs="宋体"/>
          <w:sz w:val="21"/>
          <w:szCs w:val="21"/>
        </w:rPr>
        <w:t>17. 计量与支付</w:t>
      </w:r>
      <w:bookmarkEnd w:id="314"/>
      <w:bookmarkEnd w:id="315"/>
    </w:p>
    <w:p w14:paraId="435C9BD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16" w:name="_Toc154675122"/>
      <w:r>
        <w:rPr>
          <w:rFonts w:hint="eastAsia" w:ascii="宋体" w:hAnsi="宋体" w:eastAsia="宋体" w:cs="宋体"/>
          <w:sz w:val="21"/>
          <w:szCs w:val="21"/>
        </w:rPr>
        <w:t>17.1  计量</w:t>
      </w:r>
      <w:bookmarkEnd w:id="316"/>
    </w:p>
    <w:p w14:paraId="686AA50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17.1.5 总价子目的计量。</w:t>
      </w:r>
    </w:p>
    <w:p w14:paraId="7EA689E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本项目工程量清单中以总额为计量单位的总价子目，除安全生产费和暂估价外，实行总价包干，合同履行过程中不予调整。</w:t>
      </w:r>
    </w:p>
    <w:p w14:paraId="3BEE7F8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总价子目的支付原则和支付进度见《第八章 工程量清单计量规则》。</w:t>
      </w:r>
    </w:p>
    <w:p w14:paraId="728BFF14">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17.3  工程进度付款</w:t>
      </w:r>
    </w:p>
    <w:p w14:paraId="5C94897C">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17.3.3进度付款证书和支付时间</w:t>
      </w:r>
    </w:p>
    <w:p w14:paraId="4BA8A981">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（5）鼓励“工完账清”。</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8B97B74">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17.3.5 农民工工资保证金的缴存时间：____________________________</w:t>
      </w:r>
    </w:p>
    <w:p w14:paraId="02683DA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农民工工资保证金的缴存金额：____________________________</w:t>
      </w:r>
    </w:p>
    <w:p w14:paraId="62AF40C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农民工工资保证金的扣留条件：____________________________</w:t>
      </w:r>
    </w:p>
    <w:p w14:paraId="226C83A4">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农民工工资保证金的返还时间：____________________________</w:t>
      </w:r>
    </w:p>
    <w:p w14:paraId="4349080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17" w:name="_Toc154675123"/>
      <w:r>
        <w:rPr>
          <w:rFonts w:hint="eastAsia" w:ascii="宋体" w:hAnsi="宋体" w:eastAsia="宋体" w:cs="宋体"/>
          <w:sz w:val="21"/>
          <w:szCs w:val="21"/>
        </w:rPr>
        <w:t>17.4  质量保证金</w:t>
      </w:r>
      <w:bookmarkEnd w:id="317"/>
    </w:p>
    <w:p w14:paraId="6D712C58">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第17.4.1项</w:t>
      </w:r>
      <w:r>
        <w:rPr>
          <w:rFonts w:hint="eastAsia" w:ascii="宋体" w:hAnsi="宋体" w:eastAsia="宋体" w:cs="宋体"/>
          <w:sz w:val="21"/>
          <w:szCs w:val="21"/>
          <w:lang w:eastAsia="zh-CN"/>
        </w:rPr>
        <w:t>、</w:t>
      </w:r>
      <w:r>
        <w:rPr>
          <w:rFonts w:hint="eastAsia" w:ascii="宋体" w:hAnsi="宋体" w:eastAsia="宋体" w:cs="宋体"/>
          <w:sz w:val="21"/>
          <w:szCs w:val="21"/>
        </w:rPr>
        <w:t>17.4.</w:t>
      </w:r>
      <w:r>
        <w:rPr>
          <w:rFonts w:hint="eastAsia" w:ascii="宋体" w:hAnsi="宋体" w:cs="宋体"/>
          <w:sz w:val="21"/>
          <w:szCs w:val="21"/>
          <w:lang w:val="en-US" w:eastAsia="zh-CN"/>
        </w:rPr>
        <w:t>2</w:t>
      </w:r>
      <w:r>
        <w:rPr>
          <w:rFonts w:hint="eastAsia" w:ascii="宋体" w:hAnsi="宋体" w:eastAsia="宋体" w:cs="宋体"/>
          <w:sz w:val="21"/>
          <w:szCs w:val="21"/>
        </w:rPr>
        <w:t>项细化为：</w:t>
      </w:r>
    </w:p>
    <w:p w14:paraId="05A6588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17.4.1 </w:t>
      </w:r>
      <w:bookmarkStart w:id="318" w:name="_Hlk90282094"/>
      <w:r>
        <w:rPr>
          <w:rFonts w:hint="eastAsia" w:ascii="宋体" w:hAnsi="宋体" w:eastAsia="宋体" w:cs="宋体"/>
          <w:sz w:val="21"/>
          <w:szCs w:val="21"/>
        </w:rPr>
        <w:t>交工验收证书签发后14天内，承包人应向发包人缴纳质量保证金。质量保证金可以采用现金、支票或工程保函形式（按照“关于在全省工程建设领域改革保证金制度的通知”（浙建〔2020〕7号），工程保函包括银行保函、保险机构保证保险保单和融资担保公司保函），金额应符合项目专用合同条款数据表的规定。采用工程保函时，出具保函的机构须具有相应担保能力，且按照发包人批准的格式出具，所需费用由承包人承担。</w:t>
      </w:r>
    </w:p>
    <w:p w14:paraId="7EB1A881">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质量保证金采用现金、支票形式提交的，发包人应在项目专用合同条款数据表中明确是否计付利息及利息的计算方式。</w:t>
      </w:r>
      <w:bookmarkEnd w:id="318"/>
    </w:p>
    <w:p w14:paraId="6EE008A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17.4.2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在第 1.1.4.5 目约定的缺陷责任期满，且已按规定完成竣工质量验收或已完成质量专项验收，承包人向发包人申请到期应返还承包人剩余的质量保证金金额，发包人应在 14 天内会同承包人按照合同约定的内容核实承包人是否完成缺陷责任。如无异议，发包人应当在核实后将剩余保证金返还承包人。</w:t>
      </w:r>
    </w:p>
    <w:p w14:paraId="4C6B79A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3"/>
        <w:rPr>
          <w:rFonts w:hint="eastAsia" w:ascii="宋体" w:hAnsi="宋体" w:eastAsia="宋体" w:cs="宋体"/>
          <w:sz w:val="21"/>
          <w:szCs w:val="21"/>
        </w:rPr>
      </w:pPr>
      <w:bookmarkStart w:id="319" w:name="_Toc4475"/>
      <w:bookmarkStart w:id="320" w:name="_Toc154675124"/>
      <w:r>
        <w:rPr>
          <w:rFonts w:hint="eastAsia" w:ascii="宋体" w:hAnsi="宋体" w:eastAsia="宋体" w:cs="宋体"/>
          <w:sz w:val="21"/>
          <w:szCs w:val="21"/>
        </w:rPr>
        <w:t>18. 交工验收</w:t>
      </w:r>
      <w:bookmarkEnd w:id="319"/>
      <w:bookmarkEnd w:id="320"/>
    </w:p>
    <w:p w14:paraId="072616E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21" w:name="_Toc154675125"/>
      <w:r>
        <w:rPr>
          <w:rFonts w:hint="eastAsia" w:ascii="宋体" w:hAnsi="宋体" w:eastAsia="宋体" w:cs="宋体"/>
          <w:sz w:val="21"/>
          <w:szCs w:val="21"/>
        </w:rPr>
        <w:t>18.9  竣工文件</w:t>
      </w:r>
      <w:bookmarkEnd w:id="321"/>
    </w:p>
    <w:p w14:paraId="65C9F6F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本款细化为：</w:t>
      </w:r>
    </w:p>
    <w:p w14:paraId="4335D3D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竣工文件应按交通运输部《公路工程竣（交）工验收办法》、《公路工程竣（交）工验收办法实施细则》和浙江省交通运输厅《浙江省公路工程竣工文件编制办法》、《浙江省公路工程竣（交）工验收办法》等编制。在缺陷责任期内应为竣工验收补充竣工资料，并在缺陷责任期满45天之前提交。承包人还应按交通运输部《交通基本建设项目竣工决算报告编制办法》的规定和要求编制（由承包人实施的部分）竣工决算一式六套，提交监理人审核，同时应提交全套竣工资料的电子文档刻录光盘或其他电子存储介质，费用由承包人承担。</w:t>
      </w:r>
    </w:p>
    <w:p w14:paraId="5B1A6D2C">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承包人应综合考虑本项目阶段性交工、节点工程试运营、验收等的特殊性，按规定整理完成并经阶段性验收合格后，最后按整个项目进行汇总整理及评定。</w:t>
      </w:r>
      <w:r>
        <w:rPr>
          <w:rFonts w:hint="eastAsia" w:ascii="宋体" w:hAnsi="宋体" w:eastAsia="宋体" w:cs="宋体"/>
          <w:spacing w:val="-2"/>
          <w:sz w:val="21"/>
          <w:szCs w:val="21"/>
        </w:rPr>
        <w:t>承包人因此增加的费用应认为已包括在</w:t>
      </w:r>
      <w:r>
        <w:rPr>
          <w:rFonts w:hint="eastAsia" w:ascii="宋体" w:hAnsi="宋体" w:eastAsia="宋体" w:cs="宋体"/>
          <w:spacing w:val="-2"/>
          <w:sz w:val="21"/>
          <w:szCs w:val="21"/>
          <w:lang w:eastAsia="zh-CN"/>
        </w:rPr>
        <w:t>竞包</w:t>
      </w:r>
      <w:r>
        <w:rPr>
          <w:rFonts w:hint="eastAsia" w:ascii="宋体" w:hAnsi="宋体" w:eastAsia="宋体" w:cs="宋体"/>
          <w:spacing w:val="-2"/>
          <w:sz w:val="21"/>
          <w:szCs w:val="21"/>
        </w:rPr>
        <w:t>价之中，发包人不另行支付。</w:t>
      </w:r>
    </w:p>
    <w:p w14:paraId="4D433F0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竣工文件中涉及施工及监理文件的有关表式，应按《浙江省公路建设项目施工统一用表管理系统》规定的统一试验用表选用。</w:t>
      </w:r>
    </w:p>
    <w:p w14:paraId="7E0CAE6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rPr>
          <w:rFonts w:hint="eastAsia" w:ascii="宋体" w:hAnsi="宋体" w:eastAsia="宋体" w:cs="宋体"/>
          <w:sz w:val="21"/>
          <w:szCs w:val="21"/>
        </w:rPr>
      </w:pPr>
      <w:r>
        <w:rPr>
          <w:rFonts w:hint="eastAsia" w:ascii="宋体" w:hAnsi="宋体" w:eastAsia="宋体" w:cs="宋体"/>
          <w:sz w:val="21"/>
          <w:szCs w:val="21"/>
        </w:rPr>
        <w:t>补充第18.10款：</w:t>
      </w:r>
    </w:p>
    <w:p w14:paraId="027DEB82">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22" w:name="_Toc154675126"/>
      <w:bookmarkStart w:id="323" w:name="_Toc370143989"/>
      <w:r>
        <w:rPr>
          <w:rFonts w:hint="eastAsia" w:ascii="宋体" w:hAnsi="宋体" w:eastAsia="宋体" w:cs="宋体"/>
          <w:sz w:val="21"/>
          <w:szCs w:val="21"/>
        </w:rPr>
        <w:t>18.10  工程档案管理</w:t>
      </w:r>
      <w:bookmarkEnd w:id="322"/>
      <w:bookmarkEnd w:id="323"/>
    </w:p>
    <w:p w14:paraId="6EABF6A9">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必须确保工程施工原始资料与工程进度同步完成，并由专人负责档案管理工作，同时按照《中华人民共和国档案法》、交通运输部《关于印发公路建设项目文件材料立卷归档管理办法的通知》、《浙江省公路工程竣工文件编制办法》、《重大建设项目档案验收办法》、《浙江省档案登记备份管理办法》以及交通运输部《公路工程竣（交）工验收办法》、《公路工程竣（交）工验收办法实施细则》等有关规定做好工程竣工资料的编制，必须配备具有档案资质的专职人员负责竣工档案编制，且人员应稳定，未经发包人同意不得变更。承包人在工程施工结束并在发包人要求的规定时间内，</w:t>
      </w:r>
      <w:r>
        <w:rPr>
          <w:rFonts w:hint="eastAsia" w:ascii="宋体" w:hAnsi="宋体" w:cs="宋体"/>
          <w:sz w:val="21"/>
          <w:szCs w:val="21"/>
          <w:lang w:val="en-US" w:eastAsia="zh-CN"/>
        </w:rPr>
        <w:t>完成档案归档</w:t>
      </w:r>
      <w:r>
        <w:rPr>
          <w:rFonts w:hint="eastAsia" w:ascii="宋体" w:hAnsi="宋体" w:eastAsia="宋体" w:cs="宋体"/>
          <w:sz w:val="21"/>
          <w:szCs w:val="21"/>
        </w:rPr>
        <w:t>，并移交所有工程档案资料、工程竣工结算报告给发包人。</w:t>
      </w:r>
    </w:p>
    <w:p w14:paraId="63D8BE43">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3"/>
        <w:rPr>
          <w:rFonts w:hint="eastAsia" w:ascii="宋体" w:hAnsi="宋体" w:eastAsia="宋体" w:cs="宋体"/>
          <w:sz w:val="21"/>
          <w:szCs w:val="21"/>
        </w:rPr>
      </w:pPr>
      <w:bookmarkStart w:id="324" w:name="_Toc370143990"/>
      <w:bookmarkStart w:id="325" w:name="_Toc29455"/>
      <w:bookmarkStart w:id="326" w:name="_Toc154675127"/>
      <w:bookmarkStart w:id="327" w:name="_Toc320086287"/>
      <w:bookmarkStart w:id="328" w:name="_Toc322076182"/>
      <w:bookmarkStart w:id="329" w:name="_Toc322592864"/>
      <w:bookmarkStart w:id="330" w:name="_Toc324338209"/>
      <w:r>
        <w:rPr>
          <w:rFonts w:hint="eastAsia" w:ascii="宋体" w:hAnsi="宋体" w:eastAsia="宋体" w:cs="宋体"/>
          <w:sz w:val="21"/>
          <w:szCs w:val="21"/>
        </w:rPr>
        <w:t>20. 保险</w:t>
      </w:r>
      <w:bookmarkEnd w:id="324"/>
      <w:bookmarkEnd w:id="325"/>
      <w:bookmarkEnd w:id="326"/>
      <w:bookmarkEnd w:id="327"/>
      <w:bookmarkEnd w:id="328"/>
      <w:bookmarkEnd w:id="329"/>
      <w:bookmarkEnd w:id="330"/>
    </w:p>
    <w:p w14:paraId="0FEC801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31" w:name="_Toc370143991"/>
      <w:bookmarkStart w:id="332" w:name="_Toc324338210"/>
      <w:bookmarkStart w:id="333" w:name="_Toc154675128"/>
      <w:r>
        <w:rPr>
          <w:rFonts w:hint="eastAsia" w:ascii="宋体" w:hAnsi="宋体" w:eastAsia="宋体" w:cs="宋体"/>
          <w:sz w:val="21"/>
          <w:szCs w:val="21"/>
        </w:rPr>
        <w:t>20.1  工程保险</w:t>
      </w:r>
    </w:p>
    <w:p w14:paraId="5582E759">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本款20.1款细化为：</w:t>
      </w:r>
    </w:p>
    <w:p w14:paraId="3295BF8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20.1建筑工程一切险的投保内容：为本合同工程的永久工程、临时工程和设备及已运至施工工地用于永久工程的材料和设备所投的保险。</w:t>
      </w:r>
    </w:p>
    <w:p w14:paraId="4C6C23EC">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保险金额：工程量清单</w:t>
      </w:r>
      <w:r>
        <w:rPr>
          <w:rFonts w:hint="eastAsia" w:ascii="宋体" w:hAnsi="宋体" w:eastAsia="宋体" w:cs="宋体"/>
          <w:sz w:val="21"/>
          <w:szCs w:val="21"/>
          <w:lang w:val="en-US" w:eastAsia="zh-CN"/>
        </w:rPr>
        <w:t>各</w:t>
      </w:r>
      <w:r>
        <w:rPr>
          <w:rFonts w:hint="eastAsia" w:ascii="宋体" w:hAnsi="宋体" w:eastAsia="宋体" w:cs="宋体"/>
          <w:sz w:val="21"/>
          <w:szCs w:val="21"/>
        </w:rPr>
        <w:t>章</w:t>
      </w:r>
      <w:r>
        <w:rPr>
          <w:rFonts w:hint="eastAsia" w:ascii="宋体" w:hAnsi="宋体" w:eastAsia="宋体" w:cs="宋体"/>
          <w:sz w:val="21"/>
          <w:szCs w:val="21"/>
          <w:lang w:val="en-US" w:eastAsia="zh-CN"/>
        </w:rPr>
        <w:t>合计金额</w:t>
      </w:r>
      <w:r>
        <w:rPr>
          <w:rFonts w:hint="eastAsia" w:ascii="宋体" w:hAnsi="宋体" w:eastAsia="宋体" w:cs="宋体"/>
          <w:sz w:val="21"/>
          <w:szCs w:val="21"/>
        </w:rPr>
        <w:t>（不含建筑工程一切险的保险费、安全生产费）。</w:t>
      </w:r>
    </w:p>
    <w:p w14:paraId="05EFC943">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保险费率：在项目专用合同条款数据表中约定。此项保险费率实际以保险合同约定的费率为准并计量支付，在工程量清单100 章内计列。</w:t>
      </w:r>
    </w:p>
    <w:p w14:paraId="436ECA6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保险期限：开工日起直至本合同工程签发缺陷责任期终止证书止（即合同工期＋缺陷责任期）</w:t>
      </w:r>
      <w:r>
        <w:rPr>
          <w:rFonts w:hint="eastAsia" w:ascii="宋体" w:hAnsi="宋体" w:eastAsia="宋体" w:cs="宋体"/>
          <w:sz w:val="21"/>
          <w:szCs w:val="21"/>
          <w:lang w:eastAsia="zh-CN"/>
        </w:rPr>
        <w:t>。</w:t>
      </w:r>
    </w:p>
    <w:p w14:paraId="1AF5D4E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承包人应以发包人和承包人的共同名义投保建筑工程一切险。保险金不足以赔偿损失的部分由承包人自行承担。</w:t>
      </w:r>
    </w:p>
    <w:p w14:paraId="2EF3EBE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r>
        <w:rPr>
          <w:rFonts w:hint="eastAsia" w:ascii="宋体" w:hAnsi="宋体" w:eastAsia="宋体" w:cs="宋体"/>
          <w:sz w:val="21"/>
          <w:szCs w:val="21"/>
        </w:rPr>
        <w:t xml:space="preserve">20.2  </w:t>
      </w:r>
      <w:bookmarkEnd w:id="331"/>
      <w:bookmarkEnd w:id="332"/>
      <w:r>
        <w:rPr>
          <w:rFonts w:hint="eastAsia" w:ascii="宋体" w:hAnsi="宋体" w:eastAsia="宋体" w:cs="宋体"/>
          <w:sz w:val="21"/>
          <w:szCs w:val="21"/>
        </w:rPr>
        <w:t>人员工伤事故的保险</w:t>
      </w:r>
      <w:bookmarkEnd w:id="333"/>
    </w:p>
    <w:p w14:paraId="223EB82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20.2.1  承包人员工伤事故的保险</w:t>
      </w:r>
    </w:p>
    <w:p w14:paraId="5B1509A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本项补充：</w:t>
      </w:r>
    </w:p>
    <w:p w14:paraId="739DBB8E">
      <w:pPr>
        <w:pStyle w:val="201"/>
        <w:tabs>
          <w:tab w:val="left" w:pos="2790"/>
        </w:tabs>
        <w:spacing w:line="400" w:lineRule="exact"/>
        <w:ind w:firstLine="420" w:firstLineChars="200"/>
        <w:rPr>
          <w:rFonts w:hint="eastAsia" w:ascii="宋体" w:hAnsi="宋体" w:cs="Times New Roman"/>
          <w:snapToGrid w:val="0"/>
          <w:kern w:val="0"/>
          <w:szCs w:val="21"/>
        </w:rPr>
      </w:pPr>
      <w:r>
        <w:rPr>
          <w:rFonts w:hint="eastAsia" w:ascii="宋体" w:hAnsi="宋体" w:cs="Times New Roman"/>
          <w:snapToGrid w:val="0"/>
          <w:kern w:val="0"/>
          <w:szCs w:val="21"/>
        </w:rPr>
        <w:t>承包人应按《浙江省人力资源和社会保障厅等六部门转发人力资源社会保障部等六部门关于铁路、公路、水运、水利、能源、机场工程建设项目参加工伤保险工作的通知》要求，根据项目所在地规定在开工前及时缴纳工伤保险。</w:t>
      </w:r>
      <w:bookmarkStart w:id="334" w:name="_Toc7200"/>
      <w:bookmarkStart w:id="335" w:name="_Toc31201"/>
      <w:bookmarkStart w:id="336" w:name="_Toc25288"/>
    </w:p>
    <w:p w14:paraId="7C6A1CBC">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r>
        <w:rPr>
          <w:rFonts w:hint="eastAsia" w:ascii="宋体" w:hAnsi="宋体" w:eastAsia="宋体" w:cs="宋体"/>
          <w:sz w:val="21"/>
          <w:szCs w:val="21"/>
        </w:rPr>
        <w:t>20.4  第三者责任险</w:t>
      </w:r>
      <w:bookmarkEnd w:id="334"/>
      <w:bookmarkEnd w:id="335"/>
      <w:bookmarkEnd w:id="336"/>
    </w:p>
    <w:p w14:paraId="0DDD4BC4">
      <w:pPr>
        <w:pStyle w:val="201"/>
        <w:tabs>
          <w:tab w:val="left" w:pos="2790"/>
        </w:tabs>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第20.4.2项细化为：</w:t>
      </w:r>
    </w:p>
    <w:p w14:paraId="13BB1907">
      <w:pPr>
        <w:pStyle w:val="201"/>
        <w:tabs>
          <w:tab w:val="left" w:pos="2790"/>
        </w:tabs>
        <w:spacing w:line="400" w:lineRule="exact"/>
        <w:ind w:firstLine="420" w:firstLineChars="200"/>
        <w:rPr>
          <w:rFonts w:hint="eastAsia" w:ascii="宋体" w:hAnsi="宋体" w:eastAsia="宋体" w:cs="宋体"/>
          <w:sz w:val="21"/>
          <w:szCs w:val="21"/>
        </w:rPr>
      </w:pPr>
      <w:r>
        <w:rPr>
          <w:rFonts w:hint="eastAsia" w:ascii="宋体" w:hAnsi="宋体"/>
          <w:snapToGrid w:val="0"/>
          <w:kern w:val="0"/>
          <w:szCs w:val="21"/>
        </w:rPr>
        <w:t>20.4.2 在缺陷责任期终止证书颁发前，承包人应以承包人和发包人的共同名义，投保第三者责任险，第三者责任险已包含在安全生产责任保险中，不再单独计量。</w:t>
      </w:r>
    </w:p>
    <w:p w14:paraId="5DD0594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37" w:name="_Toc154675129"/>
      <w:r>
        <w:rPr>
          <w:rFonts w:hint="eastAsia" w:ascii="宋体" w:hAnsi="宋体" w:eastAsia="宋体" w:cs="宋体"/>
          <w:sz w:val="21"/>
          <w:szCs w:val="21"/>
        </w:rPr>
        <w:t>20.5  其他保险</w:t>
      </w:r>
      <w:bookmarkEnd w:id="337"/>
    </w:p>
    <w:p w14:paraId="5E06785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本款约定为：</w:t>
      </w:r>
    </w:p>
    <w:p w14:paraId="5B45768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20.5.1承包人应为其施工设备等办理保险，其投保金额应足以现场重置。</w:t>
      </w:r>
    </w:p>
    <w:p w14:paraId="1B1D9D2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承包人应办理法律法规规定必须投保的其他保险。 </w:t>
      </w:r>
    </w:p>
    <w:p w14:paraId="09A4BC1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承包人为本项目办理保险的一切费用，除在工程量清单中另有列明外，均视为已包含在合同价中，不另行支付。</w:t>
      </w:r>
    </w:p>
    <w:p w14:paraId="77B9862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20.5.2根据《中华人民共和国安全生产法》（2021修订版）、《浙江省人民政府办公厅转发省安监局等部门关于在高危行业全面推进安全生产责任保险的通知》（浙政办发〔2017〕146号）、《关于进一步推进我省安全生产责任保险规范化工作的通知》（浙应急法〔2020〕9号）等等要求，承包人在整个项目实施期间对本标段工程投保安全生产责任保险。其费用按《企业安全生产费用提取和使用管理办法》的通知（财资〔2022〕136号）约定在安全生产费用计取。</w:t>
      </w:r>
    </w:p>
    <w:p w14:paraId="0DDA0C7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38" w:name="_Toc154675130"/>
      <w:r>
        <w:rPr>
          <w:rFonts w:hint="eastAsia" w:ascii="宋体" w:hAnsi="宋体" w:eastAsia="宋体" w:cs="宋体"/>
          <w:sz w:val="21"/>
          <w:szCs w:val="21"/>
        </w:rPr>
        <w:t>20.6  对各项保险的一般要求</w:t>
      </w:r>
      <w:bookmarkEnd w:id="338"/>
    </w:p>
    <w:p w14:paraId="7DE0C97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20.6.4  保险金不足的补偿</w:t>
      </w:r>
    </w:p>
    <w:p w14:paraId="6B52600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本项补充：</w:t>
      </w:r>
    </w:p>
    <w:p w14:paraId="6B6C354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保险金的赔偿金额以有资质的公估单位确定的金额为准，免赔额和超过赔偿限额的部分由承包人承担。</w:t>
      </w:r>
    </w:p>
    <w:p w14:paraId="3054043F">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3"/>
        <w:rPr>
          <w:rFonts w:hint="eastAsia" w:ascii="宋体" w:hAnsi="宋体" w:eastAsia="宋体" w:cs="宋体"/>
          <w:sz w:val="21"/>
          <w:szCs w:val="21"/>
        </w:rPr>
      </w:pPr>
      <w:bookmarkStart w:id="339" w:name="_Toc18217"/>
      <w:bookmarkStart w:id="340" w:name="_Toc154675131"/>
      <w:r>
        <w:rPr>
          <w:rFonts w:hint="eastAsia" w:ascii="宋体" w:hAnsi="宋体" w:eastAsia="宋体" w:cs="宋体"/>
          <w:sz w:val="21"/>
          <w:szCs w:val="21"/>
        </w:rPr>
        <w:t>21. 不可抗力</w:t>
      </w:r>
      <w:bookmarkEnd w:id="339"/>
      <w:bookmarkEnd w:id="340"/>
    </w:p>
    <w:p w14:paraId="0D39ADB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41" w:name="_Toc154675132"/>
      <w:r>
        <w:rPr>
          <w:rFonts w:hint="eastAsia" w:ascii="宋体" w:hAnsi="宋体" w:eastAsia="宋体" w:cs="宋体"/>
          <w:sz w:val="21"/>
          <w:szCs w:val="21"/>
        </w:rPr>
        <w:t>21.1  不可抗力的确认</w:t>
      </w:r>
      <w:bookmarkEnd w:id="341"/>
    </w:p>
    <w:p w14:paraId="03AB1D6C">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公路工程专用合同条款21.1.1项（6）目约定为：</w:t>
      </w:r>
    </w:p>
    <w:p w14:paraId="08288FA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21.1.1  （6）不可抗力的其他情形：</w:t>
      </w:r>
      <w:r>
        <w:rPr>
          <w:rFonts w:hint="eastAsia" w:ascii="宋体" w:hAnsi="宋体" w:eastAsia="宋体" w:cs="宋体"/>
          <w:sz w:val="21"/>
          <w:szCs w:val="21"/>
          <w:u w:val="single"/>
        </w:rPr>
        <w:t xml:space="preserve">               </w:t>
      </w:r>
    </w:p>
    <w:p w14:paraId="3A3CC4D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3"/>
        <w:rPr>
          <w:rFonts w:hint="eastAsia" w:ascii="宋体" w:hAnsi="宋体" w:eastAsia="宋体" w:cs="宋体"/>
          <w:sz w:val="21"/>
          <w:szCs w:val="21"/>
        </w:rPr>
      </w:pPr>
      <w:bookmarkStart w:id="342" w:name="_Toc154675133"/>
      <w:bookmarkStart w:id="343" w:name="_Toc11080"/>
      <w:r>
        <w:rPr>
          <w:rFonts w:hint="eastAsia" w:ascii="宋体" w:hAnsi="宋体" w:eastAsia="宋体" w:cs="宋体"/>
          <w:sz w:val="21"/>
          <w:szCs w:val="21"/>
        </w:rPr>
        <w:t>22. 违约</w:t>
      </w:r>
      <w:bookmarkEnd w:id="342"/>
      <w:bookmarkEnd w:id="343"/>
    </w:p>
    <w:p w14:paraId="7E869FA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44" w:name="_Toc154675134"/>
      <w:r>
        <w:rPr>
          <w:rFonts w:hint="eastAsia" w:ascii="宋体" w:hAnsi="宋体" w:eastAsia="宋体" w:cs="宋体"/>
          <w:sz w:val="21"/>
          <w:szCs w:val="21"/>
        </w:rPr>
        <w:t>22.1  承包人违约</w:t>
      </w:r>
      <w:r>
        <w:rPr>
          <w:rStyle w:val="80"/>
          <w:rFonts w:hint="eastAsia" w:ascii="宋体" w:hAnsi="宋体" w:eastAsia="宋体" w:cs="宋体"/>
          <w:sz w:val="21"/>
          <w:szCs w:val="21"/>
          <w:vertAlign w:val="superscript"/>
        </w:rPr>
        <w:footnoteReference w:id="24"/>
      </w:r>
      <w:bookmarkEnd w:id="344"/>
    </w:p>
    <w:p w14:paraId="491AB9F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22.1.1  承包人违约的情形</w:t>
      </w:r>
    </w:p>
    <w:p w14:paraId="249EADF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本项细化为：</w:t>
      </w:r>
    </w:p>
    <w:p w14:paraId="6E89767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（1）承包人违反第1.8款或第4.3款的约定，私自将合同的全部或部分权利转让给其他人，或私自将合同的全部或部分义务转移给其他人；</w:t>
      </w:r>
    </w:p>
    <w:p w14:paraId="38F9001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（2）承包人违反第5.3款或第6.4款的约定，未经监理人批准，私自将已按合同约定进入施工场地的施工设备、临时设施、材料或工程设备撤离施工场地；</w:t>
      </w:r>
    </w:p>
    <w:p w14:paraId="5267C79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（3）承包人违反第5.4款的约定使用了不合格材料或工程设备，工程质量达不到标准要求，又拒绝清除不合格工程；</w:t>
      </w:r>
    </w:p>
    <w:p w14:paraId="0E250686">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（4）承包人未能按合同进度计划、节点计划及时完成合同约定的工作，已造成或预期造成工期延误；</w:t>
      </w:r>
    </w:p>
    <w:p w14:paraId="7660D003">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（5）承包人在缺陷责任期内，未能对工程接收证书所列的缺陷清单的内容或缺陷责任期内发生的缺陷进行修复，而又拒绝按监理人指示再进行修补；</w:t>
      </w:r>
    </w:p>
    <w:p w14:paraId="49979E2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（6）承包人无法继续履行或明确表示不履行或实质上已停止履行合同；</w:t>
      </w:r>
    </w:p>
    <w:p w14:paraId="57B57C62">
      <w:pPr>
        <w:keepNext w:val="0"/>
        <w:keepLines w:val="0"/>
        <w:pageBreakBefore w:val="0"/>
        <w:widowControl w:val="0"/>
        <w:tabs>
          <w:tab w:val="left" w:pos="279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（7）项目已具备开工条件，因承包人原因，承包人未能按期开工；</w:t>
      </w:r>
    </w:p>
    <w:p w14:paraId="2BFB7407">
      <w:pPr>
        <w:keepNext w:val="0"/>
        <w:keepLines w:val="0"/>
        <w:pageBreakBefore w:val="0"/>
        <w:widowControl w:val="0"/>
        <w:tabs>
          <w:tab w:val="left" w:pos="279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（8）承包人违反第6.1款或第6.3款的规定，未按承诺或未按监理人的要求及时配备合同约定的关键施工设备；</w:t>
      </w:r>
    </w:p>
    <w:p w14:paraId="6BB9168A">
      <w:pPr>
        <w:keepNext w:val="0"/>
        <w:keepLines w:val="0"/>
        <w:pageBreakBefore w:val="0"/>
        <w:widowControl w:val="0"/>
        <w:tabs>
          <w:tab w:val="left" w:pos="2790"/>
        </w:tabs>
        <w:kinsoku/>
        <w:wordWrap/>
        <w:overflowPunct/>
        <w:topLinePunct w:val="0"/>
        <w:autoSpaceDE/>
        <w:autoSpaceDN/>
        <w:bidi w:val="0"/>
        <w:adjustRightInd/>
        <w:snapToGrid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（9）经监理人和发包人检查，发现承包人违反9.2项约定有安全问题或有违反安全管理规章制度的情形；</w:t>
      </w:r>
    </w:p>
    <w:p w14:paraId="54AC1B4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（10）承包人违反第13.1.1项的约定，工程质量未达到标段竣工验收的质量评定要求的；</w:t>
      </w:r>
    </w:p>
    <w:p w14:paraId="077BB37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（11）承包人违反第4.9款及17.2款的约定，将发包人支付给承包人的各项价款转移或用于其他工程；</w:t>
      </w:r>
    </w:p>
    <w:p w14:paraId="424A59F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（12）承包人违反第4.6款的规定，未按承诺或未按监理人的要求及时配备称职的主要管理人员、技术骨干，或未按规定替换，或擅离职守的；</w:t>
      </w:r>
    </w:p>
    <w:p w14:paraId="76D1CC49">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（13）承包人违反</w:t>
      </w:r>
      <w:r>
        <w:rPr>
          <w:rFonts w:hint="eastAsia" w:ascii="宋体" w:hAnsi="宋体" w:eastAsia="宋体" w:cs="宋体"/>
          <w:sz w:val="21"/>
          <w:szCs w:val="21"/>
          <w:lang w:eastAsia="zh-CN"/>
        </w:rPr>
        <w:t>竞包人</w:t>
      </w:r>
      <w:r>
        <w:rPr>
          <w:rFonts w:hint="eastAsia" w:ascii="宋体" w:hAnsi="宋体" w:eastAsia="宋体" w:cs="宋体"/>
          <w:sz w:val="21"/>
          <w:szCs w:val="21"/>
        </w:rPr>
        <w:t>须知3.5款的规定，在合同实施期间发现承包人在</w:t>
      </w:r>
      <w:r>
        <w:rPr>
          <w:rFonts w:hint="eastAsia" w:ascii="宋体" w:hAnsi="宋体" w:eastAsia="宋体" w:cs="宋体"/>
          <w:sz w:val="21"/>
          <w:szCs w:val="21"/>
          <w:lang w:eastAsia="zh-CN"/>
        </w:rPr>
        <w:t>竞包</w:t>
      </w:r>
      <w:r>
        <w:rPr>
          <w:rFonts w:hint="eastAsia" w:ascii="宋体" w:hAnsi="宋体" w:eastAsia="宋体" w:cs="宋体"/>
          <w:sz w:val="21"/>
          <w:szCs w:val="21"/>
        </w:rPr>
        <w:t>时提供了虚假资料的。</w:t>
      </w:r>
    </w:p>
    <w:p w14:paraId="20AFDFE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（14）安全目标未达到</w:t>
      </w:r>
      <w:r>
        <w:rPr>
          <w:rFonts w:hint="eastAsia" w:ascii="宋体" w:hAnsi="宋体" w:eastAsia="宋体" w:cs="宋体"/>
          <w:sz w:val="21"/>
          <w:szCs w:val="21"/>
          <w:lang w:eastAsia="zh-CN"/>
        </w:rPr>
        <w:t>发包文件</w:t>
      </w:r>
      <w:r>
        <w:rPr>
          <w:rFonts w:hint="eastAsia" w:ascii="宋体" w:hAnsi="宋体" w:eastAsia="宋体" w:cs="宋体"/>
          <w:sz w:val="21"/>
          <w:szCs w:val="21"/>
        </w:rPr>
        <w:t>规定要求的；</w:t>
      </w:r>
    </w:p>
    <w:p w14:paraId="7C1AEC58">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22.1.2  对承包人违约的处理</w:t>
      </w:r>
    </w:p>
    <w:p w14:paraId="75E82F6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本项细化为：</w:t>
      </w:r>
    </w:p>
    <w:p w14:paraId="1AB0175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（1）承包人发生第22.1.1（6）目约定的违约情形时，发包人可通知承包人立即解除合同，并按有关法律处理。</w:t>
      </w:r>
    </w:p>
    <w:p w14:paraId="62B1241A">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（2）承包人发生除第22.1.1（6）目约定以外的其他违约情形时，监理人可向承包人发出整改通知，要求其在指定的期限内改正。承包人应承担其违约所引起的费用增加和（或）工期延误。</w:t>
      </w:r>
    </w:p>
    <w:p w14:paraId="6BF271C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（3）经检查证明承包人已采取了有效措施纠正违约行为，具备复工条件的，可由监理人签发复工通知复工。</w:t>
      </w:r>
    </w:p>
    <w:p w14:paraId="7FB4BDB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承包人发生第22.1.1项约定的违约情形时，无论发包人是否解除合同，发包人均有权向承包人课以违约金，并由发包人将其违约行为上报省级交通主管部门，作为不良记录纳入浙江省交通运输信用综合管理服务系统。</w:t>
      </w:r>
    </w:p>
    <w:p w14:paraId="4AF33F0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当承包人发生第22.1.1项约定的违约情形时，发包人有权向承包人课以违约金，具体约定如下</w:t>
      </w:r>
      <w:r>
        <w:rPr>
          <w:rStyle w:val="80"/>
          <w:rFonts w:hint="eastAsia" w:ascii="宋体" w:hAnsi="宋体" w:eastAsia="宋体" w:cs="宋体"/>
          <w:sz w:val="21"/>
          <w:szCs w:val="21"/>
          <w:vertAlign w:val="superscript"/>
        </w:rPr>
        <w:footnoteReference w:id="25"/>
      </w:r>
      <w:r>
        <w:rPr>
          <w:rFonts w:hint="eastAsia" w:ascii="宋体" w:hAnsi="宋体" w:eastAsia="宋体" w:cs="宋体"/>
          <w:sz w:val="21"/>
          <w:szCs w:val="21"/>
        </w:rPr>
        <w:t>：</w:t>
      </w:r>
    </w:p>
    <w:p w14:paraId="244D5E4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承包人发生第22.1.1项（1）目中违反第1.8款约定的情形，除责令立即纠正外，并课以不超过1％签约合同价的违约金；发生第22.1.1项（1）目中违反第4.3款约定的情形，在发包人向承包人发出书面通知的14天内未见纠正后，发包人将酌情向承包人课以不超过1％签约合同价的违约金。即使缴纳了违约金，承包人仍应按合同规定继续实施和完成本合同工程及其缺陷修复；</w:t>
      </w:r>
    </w:p>
    <w:p w14:paraId="792FBFC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b.承包人发生第22.1.1项（2）目中违反第5.3款约定的情形，在发包人向承包人发出书面通知的14天内未见纠正后，发包人将向承包人课以不超过材料和工程设备价值两倍的违约金；发生第22.1.1项（2）目中违反第6.4款约定的情形，在发包人向承包人发出书面通知的14天内未见纠正后，发包人将向承包人课以不超过其台班费两倍的违约金； </w:t>
      </w:r>
    </w:p>
    <w:p w14:paraId="7D53CB6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c.承包人发生第22.1.1项（3）目情形，在发包人向承包人发出书面通知的14天内未见纠正后，发包人将按每一情形酌情向承包人课以不超过0.5％签约合同价的违约金。即使缴纳了违约金，承包人仍应按合同规定继续实施和完成本合同工程及其缺陷修复；</w:t>
      </w:r>
    </w:p>
    <w:p w14:paraId="2CFC4EA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d.承包人发生第22.1.1项（4）目情形，则按第11.5款规定处理；</w:t>
      </w:r>
    </w:p>
    <w:p w14:paraId="01684F5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e.承包人发生第22.1.1项（5）目情形，则按第19.2.4项规定处理；</w:t>
      </w:r>
    </w:p>
    <w:p w14:paraId="1F0AAE63">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f.承包人发生第22.1.1项（7）目情形，发包人有权按第11.5款规定的逾期交工违约金金额的二分之一乘以未按期开工天数处以违约金；</w:t>
      </w:r>
    </w:p>
    <w:p w14:paraId="2E8F7497">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g.承包人发生第22.1.1项（8）目情形，在发包人向承包人发出书面通知的14天内未见纠正后，发包人将向承包人课以不超过0.5%签约合同价的违约金；</w:t>
      </w:r>
    </w:p>
    <w:p w14:paraId="161659CA">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h.承包人发生第22.1.1项（9）目情形，发包人将责令整改；情节严重的，将停工整顿，并酌情扣除安全生产费；</w:t>
      </w:r>
    </w:p>
    <w:p w14:paraId="22530785">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i.承包人发生第22.1.1项（10）目情形，则课以不超过1%签约合同价的违约金；</w:t>
      </w:r>
    </w:p>
    <w:p w14:paraId="16F9D79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j.承包人发生第22.1.1项（11）目情形，则课以转移（挪用）资金10%的违约金；</w:t>
      </w:r>
    </w:p>
    <w:p w14:paraId="0C49B0A6">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k.承包人发生第22.1.1项（12）目情形，项目经理或项目技术负责人</w:t>
      </w:r>
      <w:r>
        <w:rPr>
          <w:rFonts w:hint="eastAsia" w:ascii="宋体" w:hAnsi="宋体" w:cs="宋体"/>
          <w:sz w:val="21"/>
          <w:szCs w:val="21"/>
          <w:lang w:val="en-US" w:eastAsia="zh-CN"/>
        </w:rPr>
        <w:t>或安全负责人</w:t>
      </w:r>
      <w:r>
        <w:rPr>
          <w:rFonts w:hint="eastAsia" w:ascii="宋体" w:hAnsi="宋体" w:eastAsia="宋体" w:cs="宋体"/>
          <w:sz w:val="21"/>
          <w:szCs w:val="21"/>
        </w:rPr>
        <w:t>未经发包人同意擅自离开工地，每天课以违约金_____元／人；若每月在工地天数不足20天（特殊情形经监理人批准报发包人同意例外）者，每不足一天额外课以违约金_____元／人；承包人未经发包人书面同意更换项目经理课以_____万元的违约金，更换项目技术负责人课以</w:t>
      </w:r>
      <w:r>
        <w:rPr>
          <w:rFonts w:hint="eastAsia" w:ascii="宋体" w:hAnsi="宋体" w:eastAsia="宋体" w:cs="宋体"/>
          <w:sz w:val="21"/>
          <w:szCs w:val="21"/>
          <w:u w:val="single"/>
        </w:rPr>
        <w:t xml:space="preserve">    </w:t>
      </w:r>
      <w:r>
        <w:rPr>
          <w:rFonts w:hint="eastAsia" w:ascii="宋体" w:hAnsi="宋体" w:eastAsia="宋体" w:cs="宋体"/>
          <w:sz w:val="21"/>
          <w:szCs w:val="21"/>
        </w:rPr>
        <w:t>万元的违约金，更换安全负责人课以</w:t>
      </w:r>
      <w:r>
        <w:rPr>
          <w:rFonts w:hint="eastAsia" w:ascii="宋体" w:hAnsi="宋体" w:eastAsia="宋体" w:cs="宋体"/>
          <w:sz w:val="21"/>
          <w:szCs w:val="21"/>
          <w:u w:val="single"/>
        </w:rPr>
        <w:t xml:space="preserve">    </w:t>
      </w:r>
      <w:r>
        <w:rPr>
          <w:rFonts w:hint="eastAsia" w:ascii="宋体" w:hAnsi="宋体" w:eastAsia="宋体" w:cs="宋体"/>
          <w:sz w:val="21"/>
          <w:szCs w:val="21"/>
        </w:rPr>
        <w:t>万元的违约金，更换其他主要管理人员、技术骨干课以每人次_____万元的违约金</w:t>
      </w:r>
      <w:r>
        <w:rPr>
          <w:rFonts w:hint="eastAsia" w:ascii="宋体" w:hAnsi="宋体" w:eastAsia="宋体" w:cs="宋体"/>
          <w:sz w:val="21"/>
          <w:szCs w:val="21"/>
          <w:lang w:eastAsia="zh-CN"/>
        </w:rPr>
        <w:t>，</w:t>
      </w:r>
      <w:r>
        <w:rPr>
          <w:rFonts w:hint="eastAsia" w:ascii="宋体" w:hAnsi="宋体" w:eastAsia="宋体" w:cs="宋体"/>
          <w:sz w:val="21"/>
          <w:szCs w:val="21"/>
        </w:rPr>
        <w:t>并由发包人将其违约行为上报省级交通运输主管部门，作为不良记录纳入浙江省交通运输信用管理与服务系统；承包人经发包人书面同意更换项目经理、项目技术负责人和安全负责人的，课以</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万元/人次的违约金，更换合同附件四其他管理和技术人员最低要求中约定的人员课以</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万元/人次的违约金</w:t>
      </w:r>
      <w:r>
        <w:rPr>
          <w:rStyle w:val="80"/>
          <w:rFonts w:hint="eastAsia" w:ascii="宋体" w:hAnsi="宋体" w:eastAsia="宋体" w:cs="宋体"/>
          <w:sz w:val="21"/>
          <w:szCs w:val="21"/>
          <w:vertAlign w:val="superscript"/>
        </w:rPr>
        <w:footnoteReference w:id="26"/>
      </w:r>
      <w:r>
        <w:rPr>
          <w:rFonts w:hint="eastAsia" w:ascii="宋体" w:hAnsi="宋体" w:eastAsia="宋体" w:cs="宋体"/>
          <w:sz w:val="21"/>
          <w:szCs w:val="21"/>
        </w:rPr>
        <w:t>；</w:t>
      </w:r>
    </w:p>
    <w:p w14:paraId="47978281">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l.承包人发生第22.1.1项（13）目情形，在合同实施期间发现承包人在</w:t>
      </w:r>
      <w:r>
        <w:rPr>
          <w:rFonts w:hint="eastAsia" w:ascii="宋体" w:hAnsi="宋体" w:eastAsia="宋体" w:cs="宋体"/>
          <w:sz w:val="21"/>
          <w:szCs w:val="21"/>
          <w:lang w:eastAsia="zh-CN"/>
        </w:rPr>
        <w:t>竞包</w:t>
      </w:r>
      <w:r>
        <w:rPr>
          <w:rFonts w:hint="eastAsia" w:ascii="宋体" w:hAnsi="宋体" w:eastAsia="宋体" w:cs="宋体"/>
          <w:sz w:val="21"/>
          <w:szCs w:val="21"/>
        </w:rPr>
        <w:t>时提供了虚假材料的，课以不超过5%签约合同价的违约金；</w:t>
      </w:r>
    </w:p>
    <w:p w14:paraId="4E51C29B">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m.承包人发生第22.1.1项（14）目情形，则课以不超过1%签约合同价的违约金。</w:t>
      </w:r>
    </w:p>
    <w:p w14:paraId="4E428B8D">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textAlignment w:val="auto"/>
        <w:outlineLvl w:val="4"/>
        <w:rPr>
          <w:rFonts w:hint="eastAsia" w:ascii="宋体" w:hAnsi="宋体" w:eastAsia="宋体" w:cs="宋体"/>
          <w:sz w:val="21"/>
          <w:szCs w:val="21"/>
        </w:rPr>
      </w:pPr>
      <w:bookmarkStart w:id="345" w:name="_Toc154675135"/>
      <w:r>
        <w:rPr>
          <w:rFonts w:hint="eastAsia" w:ascii="宋体" w:hAnsi="宋体" w:eastAsia="宋体" w:cs="宋体"/>
          <w:sz w:val="21"/>
          <w:szCs w:val="21"/>
        </w:rPr>
        <w:t>22.2  发包人违约</w:t>
      </w:r>
      <w:bookmarkEnd w:id="345"/>
    </w:p>
    <w:p w14:paraId="0FE96C3E">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22.2.1  发包人违约的情形</w:t>
      </w:r>
    </w:p>
    <w:p w14:paraId="0194DF80">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本项细化为：</w:t>
      </w:r>
    </w:p>
    <w:p w14:paraId="0C5CB012">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在履行合同过程中发生的下列情形，属发包人违约：</w:t>
      </w:r>
    </w:p>
    <w:p w14:paraId="0827CC3B">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（1）发包人未能按合同约定支付预付款或合同价款，或拖延、拒绝批准付款申请和支付凭证，导致付款延误的（包括未按照第17.4.2项规定及时退还质量保证金的）；</w:t>
      </w:r>
    </w:p>
    <w:p w14:paraId="7755531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（2）由于发包人征地拆迁不到位、开工的正常条件不具备，导致承包人无法按合同约定如期开工的；</w:t>
      </w:r>
    </w:p>
    <w:p w14:paraId="21587D4F">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（3）由于发包人下列原因造成停工的：</w:t>
      </w:r>
    </w:p>
    <w:p w14:paraId="1E3019E9">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合同约定应由发包人提供的材料、设备未能按时交货或质量不符合要求或变更交货地点导致承包人停工的；</w:t>
      </w:r>
    </w:p>
    <w:p w14:paraId="25A68B70">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发包人提供的施工图纸延误或施工图存在差错影响施工，工程变更通知未及时下达导致承包人停工的；</w:t>
      </w:r>
    </w:p>
    <w:p w14:paraId="35E46945">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 非承包人原因发生第三方阻工，而发包人未及时协调处理导致承包人停工的；</w:t>
      </w:r>
    </w:p>
    <w:p w14:paraId="6DABB20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 监理人无正当理由没有在约定期限内发出复工指示，导致承包人无法复工的；</w:t>
      </w:r>
    </w:p>
    <w:p w14:paraId="39B22F2D">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（4）发包人无法继续履行或明确表示不履行或实质上已停止履行合同的；</w:t>
      </w:r>
    </w:p>
    <w:p w14:paraId="728E4E8C">
      <w:pPr>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（5）发包人不履行合同约定其他义务的。</w:t>
      </w:r>
    </w:p>
    <w:p w14:paraId="6C3B2633">
      <w:pPr>
        <w:keepNext w:val="0"/>
        <w:keepLines w:val="0"/>
        <w:pageBreakBefore w:val="0"/>
        <w:widowControl w:val="0"/>
        <w:tabs>
          <w:tab w:val="left" w:pos="2790"/>
        </w:tabs>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22.2.2  发包人无正当理由不按时返还履约保证金、质量保证金或农民工工资保证金的，发包人应向承包人支付的违约金如下：_____________________________________</w:t>
      </w:r>
    </w:p>
    <w:p w14:paraId="69CE90F2">
      <w:pPr>
        <w:rPr>
          <w:sz w:val="24"/>
        </w:rPr>
      </w:pPr>
      <w:r>
        <w:rPr>
          <w:sz w:val="24"/>
        </w:rPr>
        <w:br w:type="page"/>
      </w:r>
    </w:p>
    <w:p w14:paraId="4F7DC5DA">
      <w:pPr>
        <w:tabs>
          <w:tab w:val="left" w:pos="2790"/>
        </w:tabs>
        <w:spacing w:line="360" w:lineRule="auto"/>
        <w:jc w:val="center"/>
        <w:rPr>
          <w:sz w:val="24"/>
        </w:rPr>
      </w:pPr>
    </w:p>
    <w:p w14:paraId="127C8658">
      <w:pPr>
        <w:tabs>
          <w:tab w:val="left" w:pos="2790"/>
        </w:tabs>
        <w:spacing w:line="360" w:lineRule="auto"/>
        <w:jc w:val="center"/>
        <w:rPr>
          <w:sz w:val="24"/>
        </w:rPr>
      </w:pPr>
    </w:p>
    <w:p w14:paraId="14169FBC">
      <w:pPr>
        <w:tabs>
          <w:tab w:val="left" w:pos="2790"/>
        </w:tabs>
        <w:spacing w:line="360" w:lineRule="auto"/>
        <w:jc w:val="center"/>
        <w:rPr>
          <w:sz w:val="24"/>
        </w:rPr>
      </w:pPr>
    </w:p>
    <w:p w14:paraId="66305261">
      <w:pPr>
        <w:tabs>
          <w:tab w:val="left" w:pos="2790"/>
        </w:tabs>
        <w:spacing w:line="360" w:lineRule="auto"/>
        <w:jc w:val="center"/>
        <w:rPr>
          <w:sz w:val="24"/>
        </w:rPr>
      </w:pPr>
    </w:p>
    <w:p w14:paraId="78219841">
      <w:pPr>
        <w:pStyle w:val="5"/>
        <w:spacing w:line="360" w:lineRule="auto"/>
        <w:jc w:val="center"/>
        <w:rPr>
          <w:rFonts w:ascii="Times New Roman" w:hAnsi="Times New Roman"/>
          <w:sz w:val="28"/>
        </w:rPr>
      </w:pPr>
      <w:bookmarkStart w:id="346" w:name="_Toc28918"/>
      <w:bookmarkStart w:id="347" w:name="_Toc154675137"/>
      <w:bookmarkStart w:id="348" w:name="_Toc17849"/>
      <w:r>
        <w:rPr>
          <w:rFonts w:hint="eastAsia" w:ascii="Times New Roman" w:hAnsi="Times New Roman"/>
          <w:sz w:val="28"/>
        </w:rPr>
        <w:t>第三节</w:t>
      </w:r>
      <w:r>
        <w:rPr>
          <w:rFonts w:ascii="Times New Roman" w:hAnsi="Times New Roman"/>
          <w:sz w:val="28"/>
        </w:rPr>
        <w:t xml:space="preserve">  </w:t>
      </w:r>
      <w:r>
        <w:rPr>
          <w:rFonts w:hint="eastAsia" w:ascii="Times New Roman" w:hAnsi="Times New Roman"/>
          <w:sz w:val="28"/>
        </w:rPr>
        <w:t>合同附件格式</w:t>
      </w:r>
      <w:bookmarkEnd w:id="346"/>
      <w:bookmarkEnd w:id="347"/>
      <w:bookmarkEnd w:id="348"/>
    </w:p>
    <w:p w14:paraId="1FF316B9">
      <w:pPr>
        <w:tabs>
          <w:tab w:val="left" w:pos="2790"/>
        </w:tabs>
        <w:spacing w:line="360" w:lineRule="auto"/>
        <w:outlineLvl w:val="2"/>
        <w:rPr>
          <w:sz w:val="28"/>
          <w:szCs w:val="28"/>
        </w:rPr>
      </w:pPr>
      <w:r>
        <w:rPr>
          <w:sz w:val="24"/>
        </w:rPr>
        <w:br w:type="page"/>
      </w:r>
      <w:bookmarkStart w:id="349" w:name="_Toc154675138"/>
      <w:bookmarkStart w:id="350" w:name="_Toc29435"/>
      <w:r>
        <w:rPr>
          <w:rFonts w:hint="eastAsia"/>
          <w:sz w:val="28"/>
          <w:szCs w:val="28"/>
        </w:rPr>
        <w:t>附件一</w:t>
      </w:r>
      <w:r>
        <w:rPr>
          <w:sz w:val="28"/>
          <w:szCs w:val="28"/>
        </w:rPr>
        <w:t xml:space="preserve">  </w:t>
      </w:r>
      <w:r>
        <w:rPr>
          <w:rFonts w:hint="eastAsia"/>
          <w:sz w:val="28"/>
          <w:szCs w:val="28"/>
        </w:rPr>
        <w:t>合同协议书</w:t>
      </w:r>
      <w:bookmarkEnd w:id="349"/>
      <w:bookmarkEnd w:id="350"/>
    </w:p>
    <w:p w14:paraId="50D520E4">
      <w:pPr>
        <w:tabs>
          <w:tab w:val="left" w:pos="2790"/>
        </w:tabs>
        <w:spacing w:line="360" w:lineRule="auto"/>
        <w:jc w:val="center"/>
        <w:rPr>
          <w:rFonts w:eastAsia="黑体"/>
          <w:sz w:val="28"/>
          <w:szCs w:val="28"/>
        </w:rPr>
      </w:pPr>
      <w:r>
        <w:rPr>
          <w:rFonts w:hint="eastAsia" w:eastAsia="黑体"/>
          <w:sz w:val="28"/>
          <w:szCs w:val="28"/>
        </w:rPr>
        <w:t>合同协议书</w:t>
      </w:r>
    </w:p>
    <w:p w14:paraId="6D6D5EAE">
      <w:pPr>
        <w:tabs>
          <w:tab w:val="left" w:pos="2790"/>
        </w:tabs>
        <w:spacing w:line="360" w:lineRule="auto"/>
        <w:jc w:val="center"/>
        <w:rPr>
          <w:rFonts w:eastAsia="黑体"/>
          <w:sz w:val="24"/>
        </w:rPr>
      </w:pPr>
    </w:p>
    <w:p w14:paraId="2F4D68CF">
      <w:pPr>
        <w:tabs>
          <w:tab w:val="left" w:pos="2790"/>
        </w:tabs>
        <w:spacing w:line="360" w:lineRule="auto"/>
        <w:ind w:firstLine="420" w:firstLineChars="200"/>
        <w:rPr>
          <w:szCs w:val="21"/>
          <w:u w:val="single"/>
        </w:rPr>
      </w:pPr>
      <w:r>
        <w:rPr>
          <w:szCs w:val="21"/>
          <w:u w:val="single"/>
        </w:rPr>
        <w:t xml:space="preserve">                </w:t>
      </w:r>
      <w:r>
        <w:rPr>
          <w:szCs w:val="21"/>
        </w:rPr>
        <w:t xml:space="preserve"> </w:t>
      </w:r>
      <w:r>
        <w:rPr>
          <w:rFonts w:hint="eastAsia"/>
          <w:szCs w:val="21"/>
        </w:rPr>
        <w:t>（发包人名称，以下简称</w:t>
      </w:r>
      <w:r>
        <w:rPr>
          <w:szCs w:val="21"/>
        </w:rPr>
        <w:t>“</w:t>
      </w:r>
      <w:r>
        <w:rPr>
          <w:rFonts w:hint="eastAsia"/>
          <w:szCs w:val="21"/>
        </w:rPr>
        <w:t>发包人</w:t>
      </w:r>
      <w:r>
        <w:rPr>
          <w:szCs w:val="21"/>
        </w:rPr>
        <w:t>”</w:t>
      </w:r>
      <w:r>
        <w:rPr>
          <w:rFonts w:hint="eastAsia"/>
          <w:szCs w:val="21"/>
        </w:rPr>
        <w:t>）为实施</w:t>
      </w:r>
      <w:r>
        <w:rPr>
          <w:szCs w:val="21"/>
          <w:u w:val="single"/>
        </w:rPr>
        <w:t xml:space="preserve">              </w:t>
      </w:r>
      <w:r>
        <w:rPr>
          <w:rFonts w:hint="eastAsia"/>
          <w:szCs w:val="21"/>
        </w:rPr>
        <w:t>（项目名称），已接受</w:t>
      </w:r>
      <w:r>
        <w:rPr>
          <w:szCs w:val="21"/>
          <w:u w:val="single"/>
        </w:rPr>
        <w:t xml:space="preserve">                </w:t>
      </w:r>
      <w:r>
        <w:rPr>
          <w:rFonts w:hint="eastAsia"/>
          <w:szCs w:val="21"/>
        </w:rPr>
        <w:t>（承包人名称，以下简称</w:t>
      </w:r>
      <w:r>
        <w:rPr>
          <w:szCs w:val="21"/>
        </w:rPr>
        <w:t>“</w:t>
      </w:r>
      <w:r>
        <w:rPr>
          <w:rFonts w:hint="eastAsia"/>
          <w:szCs w:val="21"/>
        </w:rPr>
        <w:t>承包人</w:t>
      </w:r>
      <w:r>
        <w:rPr>
          <w:szCs w:val="21"/>
        </w:rPr>
        <w:t>”</w:t>
      </w:r>
      <w:r>
        <w:rPr>
          <w:rFonts w:hint="eastAsia"/>
          <w:szCs w:val="21"/>
        </w:rPr>
        <w:t>）对该项目</w:t>
      </w:r>
      <w:r>
        <w:rPr>
          <w:szCs w:val="21"/>
          <w:u w:val="single"/>
        </w:rPr>
        <w:t xml:space="preserve">    </w:t>
      </w:r>
      <w:r>
        <w:rPr>
          <w:rFonts w:hint="eastAsia"/>
          <w:szCs w:val="21"/>
        </w:rPr>
        <w:t>标段施工的</w:t>
      </w:r>
      <w:r>
        <w:rPr>
          <w:rFonts w:hint="eastAsia"/>
          <w:szCs w:val="21"/>
          <w:lang w:eastAsia="zh-CN"/>
        </w:rPr>
        <w:t>竞包</w:t>
      </w:r>
      <w:r>
        <w:rPr>
          <w:rFonts w:hint="eastAsia"/>
          <w:szCs w:val="21"/>
        </w:rPr>
        <w:t>。发包人和承包人共同达成如下协议。</w:t>
      </w:r>
    </w:p>
    <w:p w14:paraId="61D2EBD6">
      <w:pPr>
        <w:tabs>
          <w:tab w:val="left" w:pos="2790"/>
        </w:tabs>
        <w:spacing w:line="360" w:lineRule="auto"/>
        <w:ind w:firstLine="420" w:firstLineChars="200"/>
        <w:rPr>
          <w:szCs w:val="21"/>
        </w:rPr>
      </w:pPr>
      <w:r>
        <w:rPr>
          <w:szCs w:val="21"/>
        </w:rPr>
        <w:t>1.</w:t>
      </w:r>
      <w:r>
        <w:rPr>
          <w:rFonts w:hint="eastAsia"/>
          <w:szCs w:val="21"/>
        </w:rPr>
        <w:t>第</w:t>
      </w:r>
      <w:r>
        <w:rPr>
          <w:szCs w:val="21"/>
          <w:u w:val="single"/>
        </w:rPr>
        <w:t xml:space="preserve">    </w:t>
      </w:r>
      <w:r>
        <w:rPr>
          <w:rFonts w:hint="eastAsia"/>
          <w:szCs w:val="21"/>
        </w:rPr>
        <w:t>标段由</w:t>
      </w:r>
      <w:r>
        <w:rPr>
          <w:szCs w:val="21"/>
        </w:rPr>
        <w:t>K</w:t>
      </w:r>
      <w:r>
        <w:rPr>
          <w:szCs w:val="21"/>
          <w:u w:val="single"/>
        </w:rPr>
        <w:t xml:space="preserve">    </w:t>
      </w:r>
      <w:r>
        <w:rPr>
          <w:rFonts w:hint="eastAsia"/>
          <w:szCs w:val="21"/>
        </w:rPr>
        <w:t>＋</w:t>
      </w:r>
      <w:r>
        <w:rPr>
          <w:szCs w:val="21"/>
          <w:u w:val="single"/>
        </w:rPr>
        <w:t xml:space="preserve">    </w:t>
      </w:r>
      <w:r>
        <w:rPr>
          <w:rFonts w:hint="eastAsia"/>
          <w:szCs w:val="21"/>
        </w:rPr>
        <w:t>至</w:t>
      </w:r>
      <w:r>
        <w:rPr>
          <w:szCs w:val="21"/>
        </w:rPr>
        <w:t>K</w:t>
      </w:r>
      <w:r>
        <w:rPr>
          <w:szCs w:val="21"/>
          <w:u w:val="single"/>
        </w:rPr>
        <w:t xml:space="preserve">    </w:t>
      </w:r>
      <w:r>
        <w:rPr>
          <w:rFonts w:hint="eastAsia"/>
          <w:szCs w:val="21"/>
        </w:rPr>
        <w:t>＋</w:t>
      </w:r>
      <w:r>
        <w:rPr>
          <w:szCs w:val="21"/>
          <w:u w:val="single"/>
        </w:rPr>
        <w:t xml:space="preserve">    </w:t>
      </w:r>
      <w:r>
        <w:rPr>
          <w:rFonts w:hint="eastAsia"/>
          <w:szCs w:val="21"/>
        </w:rPr>
        <w:t>，长约</w:t>
      </w:r>
      <w:r>
        <w:rPr>
          <w:szCs w:val="21"/>
          <w:u w:val="single"/>
        </w:rPr>
        <w:t xml:space="preserve">    </w:t>
      </w:r>
      <w:r>
        <w:rPr>
          <w:szCs w:val="21"/>
        </w:rPr>
        <w:t>km</w:t>
      </w:r>
      <w:r>
        <w:rPr>
          <w:rFonts w:hint="eastAsia"/>
          <w:szCs w:val="21"/>
        </w:rPr>
        <w:t>，公路等级为</w:t>
      </w:r>
      <w:r>
        <w:rPr>
          <w:szCs w:val="21"/>
          <w:u w:val="single"/>
        </w:rPr>
        <w:t xml:space="preserve">    </w:t>
      </w:r>
      <w:r>
        <w:rPr>
          <w:rFonts w:hint="eastAsia"/>
          <w:szCs w:val="21"/>
        </w:rPr>
        <w:t>，设计时速为</w:t>
      </w:r>
      <w:r>
        <w:rPr>
          <w:szCs w:val="21"/>
          <w:u w:val="single"/>
        </w:rPr>
        <w:t xml:space="preserve">    </w:t>
      </w:r>
      <w:r>
        <w:rPr>
          <w:rFonts w:hint="eastAsia"/>
          <w:szCs w:val="21"/>
        </w:rPr>
        <w:t>，</w:t>
      </w:r>
      <w:r>
        <w:rPr>
          <w:szCs w:val="21"/>
          <w:u w:val="single"/>
        </w:rPr>
        <w:t xml:space="preserve">       __________</w:t>
      </w:r>
      <w:r>
        <w:rPr>
          <w:rFonts w:hint="eastAsia"/>
          <w:szCs w:val="21"/>
        </w:rPr>
        <w:t>路面，有</w:t>
      </w:r>
      <w:r>
        <w:rPr>
          <w:szCs w:val="21"/>
          <w:u w:val="single"/>
        </w:rPr>
        <w:t xml:space="preserve">    </w:t>
      </w:r>
      <w:r>
        <w:rPr>
          <w:rFonts w:hint="eastAsia"/>
          <w:szCs w:val="21"/>
        </w:rPr>
        <w:t>立交</w:t>
      </w:r>
      <w:r>
        <w:rPr>
          <w:szCs w:val="21"/>
          <w:u w:val="single"/>
        </w:rPr>
        <w:t xml:space="preserve">    </w:t>
      </w:r>
      <w:r>
        <w:rPr>
          <w:rFonts w:hint="eastAsia"/>
          <w:szCs w:val="21"/>
        </w:rPr>
        <w:t>处；特大桥</w:t>
      </w:r>
      <w:r>
        <w:rPr>
          <w:szCs w:val="21"/>
          <w:u w:val="single"/>
        </w:rPr>
        <w:t xml:space="preserve">    </w:t>
      </w:r>
      <w:r>
        <w:rPr>
          <w:rFonts w:hint="eastAsia"/>
          <w:szCs w:val="21"/>
        </w:rPr>
        <w:t>座，计长</w:t>
      </w:r>
      <w:r>
        <w:rPr>
          <w:szCs w:val="21"/>
          <w:u w:val="single"/>
        </w:rPr>
        <w:t xml:space="preserve">    </w:t>
      </w:r>
      <w:r>
        <w:rPr>
          <w:szCs w:val="21"/>
        </w:rPr>
        <w:t xml:space="preserve"> m</w:t>
      </w:r>
      <w:r>
        <w:rPr>
          <w:rFonts w:hint="eastAsia"/>
          <w:szCs w:val="21"/>
        </w:rPr>
        <w:t>；大中桥</w:t>
      </w:r>
      <w:r>
        <w:rPr>
          <w:szCs w:val="21"/>
          <w:u w:val="single"/>
        </w:rPr>
        <w:t xml:space="preserve">    </w:t>
      </w:r>
      <w:r>
        <w:rPr>
          <w:rFonts w:hint="eastAsia"/>
          <w:szCs w:val="21"/>
        </w:rPr>
        <w:t>座，计长</w:t>
      </w:r>
      <w:r>
        <w:rPr>
          <w:szCs w:val="21"/>
          <w:u w:val="single"/>
        </w:rPr>
        <w:t xml:space="preserve">    </w:t>
      </w:r>
      <w:r>
        <w:rPr>
          <w:szCs w:val="21"/>
        </w:rPr>
        <w:t>m</w:t>
      </w:r>
      <w:r>
        <w:rPr>
          <w:rFonts w:hint="eastAsia"/>
          <w:szCs w:val="21"/>
        </w:rPr>
        <w:t>；隧道</w:t>
      </w:r>
      <w:r>
        <w:rPr>
          <w:szCs w:val="21"/>
          <w:u w:val="single"/>
        </w:rPr>
        <w:t xml:space="preserve">    </w:t>
      </w:r>
      <w:r>
        <w:rPr>
          <w:rFonts w:hint="eastAsia"/>
          <w:szCs w:val="21"/>
        </w:rPr>
        <w:t>座，计长</w:t>
      </w:r>
      <w:r>
        <w:rPr>
          <w:szCs w:val="21"/>
          <w:u w:val="single"/>
        </w:rPr>
        <w:t xml:space="preserve">    </w:t>
      </w:r>
      <w:r>
        <w:rPr>
          <w:szCs w:val="21"/>
        </w:rPr>
        <w:t>m</w:t>
      </w:r>
      <w:r>
        <w:rPr>
          <w:rFonts w:hint="eastAsia"/>
          <w:szCs w:val="21"/>
        </w:rPr>
        <w:t>以及其他构造物工程等</w:t>
      </w:r>
      <w:r>
        <w:rPr>
          <w:rStyle w:val="80"/>
          <w:szCs w:val="21"/>
          <w:vertAlign w:val="superscript"/>
        </w:rPr>
        <w:footnoteReference w:id="27"/>
      </w:r>
      <w:r>
        <w:rPr>
          <w:rFonts w:hint="eastAsia"/>
          <w:szCs w:val="21"/>
        </w:rPr>
        <w:t>。</w:t>
      </w:r>
    </w:p>
    <w:p w14:paraId="4A1F555F">
      <w:pPr>
        <w:tabs>
          <w:tab w:val="left" w:pos="2790"/>
        </w:tabs>
        <w:spacing w:line="360" w:lineRule="auto"/>
        <w:ind w:firstLine="420" w:firstLineChars="200"/>
        <w:rPr>
          <w:szCs w:val="21"/>
        </w:rPr>
      </w:pPr>
      <w:r>
        <w:rPr>
          <w:szCs w:val="21"/>
        </w:rPr>
        <w:t>2.</w:t>
      </w:r>
      <w:r>
        <w:rPr>
          <w:rFonts w:hint="eastAsia"/>
          <w:szCs w:val="21"/>
        </w:rPr>
        <w:t>下列文件应视为构成合同文件的组成部分：</w:t>
      </w:r>
    </w:p>
    <w:p w14:paraId="64FD826D">
      <w:pPr>
        <w:tabs>
          <w:tab w:val="left" w:pos="2790"/>
        </w:tabs>
        <w:snapToGrid w:val="0"/>
        <w:spacing w:line="360" w:lineRule="auto"/>
        <w:ind w:firstLine="420" w:firstLineChars="200"/>
        <w:rPr>
          <w:szCs w:val="21"/>
        </w:rPr>
      </w:pPr>
      <w:r>
        <w:rPr>
          <w:rFonts w:hint="eastAsia"/>
          <w:szCs w:val="21"/>
        </w:rPr>
        <w:t>（</w:t>
      </w:r>
      <w:r>
        <w:rPr>
          <w:szCs w:val="21"/>
        </w:rPr>
        <w:t>1</w:t>
      </w:r>
      <w:r>
        <w:rPr>
          <w:rFonts w:hint="eastAsia"/>
          <w:szCs w:val="21"/>
        </w:rPr>
        <w:t>）合同协议书及各种合同附件（含廉政合同、安全生产合同、工程质量责任合同、工程资金监管协议及评标期间和合同谈判过程中的澄清文件和补充资料）；</w:t>
      </w:r>
    </w:p>
    <w:p w14:paraId="1750716F">
      <w:pPr>
        <w:tabs>
          <w:tab w:val="left" w:pos="2790"/>
        </w:tabs>
        <w:snapToGrid w:val="0"/>
        <w:spacing w:line="360" w:lineRule="auto"/>
        <w:ind w:firstLine="420" w:firstLineChars="200"/>
        <w:rPr>
          <w:szCs w:val="21"/>
        </w:rPr>
      </w:pPr>
      <w:r>
        <w:rPr>
          <w:rFonts w:hint="eastAsia"/>
          <w:szCs w:val="21"/>
        </w:rPr>
        <w:t>（</w:t>
      </w:r>
      <w:r>
        <w:rPr>
          <w:szCs w:val="21"/>
        </w:rPr>
        <w:t>2</w:t>
      </w:r>
      <w:r>
        <w:rPr>
          <w:rFonts w:hint="eastAsia"/>
          <w:szCs w:val="21"/>
        </w:rPr>
        <w:t>）</w:t>
      </w:r>
      <w:r>
        <w:rPr>
          <w:rFonts w:hint="eastAsia"/>
          <w:szCs w:val="21"/>
          <w:lang w:val="en-US" w:eastAsia="zh-CN"/>
        </w:rPr>
        <w:t>预承包</w:t>
      </w:r>
      <w:r>
        <w:rPr>
          <w:rFonts w:hint="eastAsia"/>
          <w:szCs w:val="21"/>
        </w:rPr>
        <w:t>通知书；</w:t>
      </w:r>
    </w:p>
    <w:p w14:paraId="5F71971C">
      <w:pPr>
        <w:tabs>
          <w:tab w:val="left" w:pos="2790"/>
        </w:tabs>
        <w:snapToGrid w:val="0"/>
        <w:spacing w:line="360" w:lineRule="auto"/>
        <w:ind w:firstLine="420" w:firstLineChars="200"/>
        <w:rPr>
          <w:szCs w:val="21"/>
        </w:rPr>
      </w:pPr>
      <w:r>
        <w:rPr>
          <w:rFonts w:hint="eastAsia"/>
          <w:szCs w:val="21"/>
        </w:rPr>
        <w:t>（</w:t>
      </w:r>
      <w:r>
        <w:rPr>
          <w:szCs w:val="21"/>
        </w:rPr>
        <w:t>3</w:t>
      </w:r>
      <w:r>
        <w:rPr>
          <w:rFonts w:hint="eastAsia"/>
          <w:szCs w:val="21"/>
        </w:rPr>
        <w:t>）</w:t>
      </w:r>
      <w:r>
        <w:rPr>
          <w:rFonts w:hint="eastAsia"/>
          <w:szCs w:val="21"/>
          <w:lang w:eastAsia="zh-CN"/>
        </w:rPr>
        <w:t>竞包</w:t>
      </w:r>
      <w:r>
        <w:rPr>
          <w:rFonts w:hint="eastAsia"/>
          <w:szCs w:val="21"/>
        </w:rPr>
        <w:t>函及</w:t>
      </w:r>
      <w:r>
        <w:rPr>
          <w:rFonts w:hint="eastAsia"/>
          <w:szCs w:val="21"/>
          <w:lang w:eastAsia="zh-CN"/>
        </w:rPr>
        <w:t>竞包</w:t>
      </w:r>
      <w:r>
        <w:rPr>
          <w:rFonts w:hint="eastAsia"/>
          <w:szCs w:val="21"/>
        </w:rPr>
        <w:t>函附录；</w:t>
      </w:r>
    </w:p>
    <w:p w14:paraId="1B32DC29">
      <w:pPr>
        <w:tabs>
          <w:tab w:val="left" w:pos="2790"/>
        </w:tabs>
        <w:snapToGrid w:val="0"/>
        <w:spacing w:line="360" w:lineRule="auto"/>
        <w:ind w:firstLine="420" w:firstLineChars="200"/>
        <w:rPr>
          <w:szCs w:val="21"/>
        </w:rPr>
      </w:pPr>
      <w:r>
        <w:rPr>
          <w:rFonts w:hint="eastAsia"/>
          <w:szCs w:val="21"/>
        </w:rPr>
        <w:t>（</w:t>
      </w:r>
      <w:r>
        <w:rPr>
          <w:szCs w:val="21"/>
        </w:rPr>
        <w:t>4</w:t>
      </w:r>
      <w:r>
        <w:rPr>
          <w:rFonts w:hint="eastAsia"/>
          <w:szCs w:val="21"/>
        </w:rPr>
        <w:t>）项目专用合同条款（含</w:t>
      </w:r>
      <w:r>
        <w:rPr>
          <w:rFonts w:hint="eastAsia"/>
          <w:szCs w:val="21"/>
          <w:lang w:eastAsia="zh-CN"/>
        </w:rPr>
        <w:t>发包文件</w:t>
      </w:r>
      <w:r>
        <w:rPr>
          <w:rFonts w:hint="eastAsia"/>
          <w:szCs w:val="21"/>
        </w:rPr>
        <w:t>补遗书中与此有关的部分）；</w:t>
      </w:r>
    </w:p>
    <w:p w14:paraId="716C736F">
      <w:pPr>
        <w:tabs>
          <w:tab w:val="left" w:pos="2790"/>
        </w:tabs>
        <w:snapToGrid w:val="0"/>
        <w:spacing w:line="360" w:lineRule="auto"/>
        <w:ind w:firstLine="420" w:firstLineChars="200"/>
        <w:rPr>
          <w:szCs w:val="21"/>
        </w:rPr>
      </w:pPr>
      <w:r>
        <w:rPr>
          <w:rFonts w:hint="eastAsia"/>
          <w:szCs w:val="21"/>
        </w:rPr>
        <w:t>（</w:t>
      </w:r>
      <w:r>
        <w:rPr>
          <w:szCs w:val="21"/>
        </w:rPr>
        <w:t>5</w:t>
      </w:r>
      <w:r>
        <w:rPr>
          <w:rFonts w:hint="eastAsia"/>
          <w:szCs w:val="21"/>
        </w:rPr>
        <w:t>）公路工程专用合同条款；</w:t>
      </w:r>
    </w:p>
    <w:p w14:paraId="55250955">
      <w:pPr>
        <w:tabs>
          <w:tab w:val="left" w:pos="2790"/>
        </w:tabs>
        <w:snapToGrid w:val="0"/>
        <w:spacing w:line="360" w:lineRule="auto"/>
        <w:ind w:firstLine="420" w:firstLineChars="200"/>
        <w:rPr>
          <w:szCs w:val="21"/>
        </w:rPr>
      </w:pPr>
      <w:r>
        <w:rPr>
          <w:rFonts w:hint="eastAsia"/>
          <w:szCs w:val="21"/>
        </w:rPr>
        <w:t>（</w:t>
      </w:r>
      <w:r>
        <w:rPr>
          <w:szCs w:val="21"/>
        </w:rPr>
        <w:t>6</w:t>
      </w:r>
      <w:r>
        <w:rPr>
          <w:rFonts w:hint="eastAsia"/>
          <w:szCs w:val="21"/>
        </w:rPr>
        <w:t>）通用合同条款；</w:t>
      </w:r>
    </w:p>
    <w:p w14:paraId="11B159DF">
      <w:pPr>
        <w:tabs>
          <w:tab w:val="left" w:pos="2790"/>
        </w:tabs>
        <w:snapToGrid w:val="0"/>
        <w:spacing w:line="360" w:lineRule="auto"/>
        <w:ind w:firstLine="420" w:firstLineChars="200"/>
        <w:rPr>
          <w:szCs w:val="21"/>
        </w:rPr>
      </w:pPr>
      <w:r>
        <w:rPr>
          <w:rFonts w:hint="eastAsia"/>
          <w:szCs w:val="21"/>
        </w:rPr>
        <w:t>（</w:t>
      </w:r>
      <w:r>
        <w:rPr>
          <w:szCs w:val="21"/>
        </w:rPr>
        <w:t>7</w:t>
      </w:r>
      <w:r>
        <w:rPr>
          <w:rFonts w:hint="eastAsia"/>
          <w:szCs w:val="21"/>
        </w:rPr>
        <w:t>）工程量清单计量规则（含</w:t>
      </w:r>
      <w:r>
        <w:rPr>
          <w:rFonts w:hint="eastAsia"/>
          <w:szCs w:val="21"/>
          <w:lang w:eastAsia="zh-CN"/>
        </w:rPr>
        <w:t>发包文件</w:t>
      </w:r>
      <w:r>
        <w:rPr>
          <w:rFonts w:hint="eastAsia"/>
          <w:szCs w:val="21"/>
        </w:rPr>
        <w:t>补遗书中与此有关的部分）；</w:t>
      </w:r>
    </w:p>
    <w:p w14:paraId="7DCA5835">
      <w:pPr>
        <w:tabs>
          <w:tab w:val="left" w:pos="2790"/>
        </w:tabs>
        <w:snapToGrid w:val="0"/>
        <w:spacing w:line="360" w:lineRule="auto"/>
        <w:ind w:firstLine="420" w:firstLineChars="200"/>
        <w:rPr>
          <w:szCs w:val="21"/>
        </w:rPr>
      </w:pPr>
      <w:r>
        <w:rPr>
          <w:rFonts w:hint="eastAsia"/>
          <w:szCs w:val="21"/>
        </w:rPr>
        <w:t>（</w:t>
      </w:r>
      <w:r>
        <w:rPr>
          <w:szCs w:val="21"/>
        </w:rPr>
        <w:t>8</w:t>
      </w:r>
      <w:r>
        <w:rPr>
          <w:rFonts w:hint="eastAsia"/>
          <w:szCs w:val="21"/>
        </w:rPr>
        <w:t>）项目专用技术规范（含</w:t>
      </w:r>
      <w:r>
        <w:rPr>
          <w:rFonts w:hint="eastAsia"/>
          <w:szCs w:val="21"/>
          <w:lang w:eastAsia="zh-CN"/>
        </w:rPr>
        <w:t>发包文件</w:t>
      </w:r>
      <w:r>
        <w:rPr>
          <w:rFonts w:hint="eastAsia"/>
          <w:szCs w:val="21"/>
        </w:rPr>
        <w:t>补遗书中与此有关的部分）；</w:t>
      </w:r>
    </w:p>
    <w:p w14:paraId="2A872FE2">
      <w:pPr>
        <w:tabs>
          <w:tab w:val="left" w:pos="2790"/>
        </w:tabs>
        <w:snapToGrid w:val="0"/>
        <w:spacing w:line="360" w:lineRule="auto"/>
        <w:ind w:firstLine="420" w:firstLineChars="200"/>
        <w:rPr>
          <w:szCs w:val="21"/>
        </w:rPr>
      </w:pPr>
      <w:r>
        <w:rPr>
          <w:rFonts w:hint="eastAsia"/>
          <w:szCs w:val="21"/>
        </w:rPr>
        <w:t>（</w:t>
      </w:r>
      <w:r>
        <w:rPr>
          <w:szCs w:val="21"/>
        </w:rPr>
        <w:t>9</w:t>
      </w:r>
      <w:r>
        <w:rPr>
          <w:rFonts w:hint="eastAsia"/>
          <w:szCs w:val="21"/>
        </w:rPr>
        <w:t>）通用技术规范；</w:t>
      </w:r>
    </w:p>
    <w:p w14:paraId="3B541E09">
      <w:pPr>
        <w:tabs>
          <w:tab w:val="left" w:pos="2790"/>
        </w:tabs>
        <w:snapToGrid w:val="0"/>
        <w:spacing w:line="360" w:lineRule="auto"/>
        <w:ind w:firstLine="420" w:firstLineChars="200"/>
        <w:rPr>
          <w:szCs w:val="21"/>
        </w:rPr>
      </w:pPr>
      <w:r>
        <w:rPr>
          <w:rFonts w:hint="eastAsia"/>
          <w:szCs w:val="21"/>
        </w:rPr>
        <w:t>（</w:t>
      </w:r>
      <w:r>
        <w:rPr>
          <w:szCs w:val="21"/>
        </w:rPr>
        <w:t>10</w:t>
      </w:r>
      <w:r>
        <w:rPr>
          <w:rFonts w:hint="eastAsia"/>
          <w:szCs w:val="21"/>
        </w:rPr>
        <w:t>）图纸（含</w:t>
      </w:r>
      <w:r>
        <w:rPr>
          <w:rFonts w:hint="eastAsia"/>
          <w:szCs w:val="21"/>
          <w:lang w:eastAsia="zh-CN"/>
        </w:rPr>
        <w:t>发包文件</w:t>
      </w:r>
      <w:r>
        <w:rPr>
          <w:rFonts w:hint="eastAsia"/>
          <w:szCs w:val="21"/>
        </w:rPr>
        <w:t>补遗书中与此有关的部分）；</w:t>
      </w:r>
    </w:p>
    <w:p w14:paraId="1E8892FA">
      <w:pPr>
        <w:tabs>
          <w:tab w:val="left" w:pos="2790"/>
        </w:tabs>
        <w:snapToGrid w:val="0"/>
        <w:spacing w:line="360" w:lineRule="auto"/>
        <w:ind w:firstLine="420" w:firstLineChars="200"/>
        <w:rPr>
          <w:szCs w:val="21"/>
        </w:rPr>
      </w:pPr>
      <w:r>
        <w:rPr>
          <w:rFonts w:hint="eastAsia"/>
          <w:szCs w:val="21"/>
        </w:rPr>
        <w:t>（</w:t>
      </w:r>
      <w:r>
        <w:rPr>
          <w:szCs w:val="21"/>
        </w:rPr>
        <w:t>11</w:t>
      </w:r>
      <w:r>
        <w:rPr>
          <w:rFonts w:hint="eastAsia"/>
          <w:szCs w:val="21"/>
        </w:rPr>
        <w:t>）</w:t>
      </w:r>
      <w:r>
        <w:rPr>
          <w:rFonts w:hint="eastAsia"/>
          <w:szCs w:val="21"/>
          <w:lang w:val="en-US" w:eastAsia="zh-CN"/>
        </w:rPr>
        <w:t>发包控制价</w:t>
      </w:r>
      <w:r>
        <w:rPr>
          <w:rFonts w:hint="eastAsia"/>
          <w:szCs w:val="21"/>
        </w:rPr>
        <w:t>；</w:t>
      </w:r>
    </w:p>
    <w:p w14:paraId="68D3B6F6">
      <w:pPr>
        <w:tabs>
          <w:tab w:val="left" w:pos="2790"/>
        </w:tabs>
        <w:snapToGrid w:val="0"/>
        <w:spacing w:line="360" w:lineRule="auto"/>
        <w:ind w:firstLine="420" w:firstLineChars="200"/>
        <w:rPr>
          <w:szCs w:val="21"/>
        </w:rPr>
      </w:pPr>
      <w:r>
        <w:rPr>
          <w:rFonts w:hint="eastAsia"/>
          <w:szCs w:val="21"/>
        </w:rPr>
        <w:t>（</w:t>
      </w:r>
      <w:r>
        <w:rPr>
          <w:szCs w:val="21"/>
        </w:rPr>
        <w:t>12</w:t>
      </w:r>
      <w:r>
        <w:rPr>
          <w:rFonts w:hint="eastAsia"/>
          <w:szCs w:val="21"/>
        </w:rPr>
        <w:t>）承包人有关人员、设备投入的承诺及</w:t>
      </w:r>
      <w:r>
        <w:rPr>
          <w:rFonts w:hint="eastAsia"/>
          <w:szCs w:val="21"/>
          <w:lang w:eastAsia="zh-CN"/>
        </w:rPr>
        <w:t>竞包</w:t>
      </w:r>
      <w:r>
        <w:rPr>
          <w:rFonts w:hint="eastAsia"/>
          <w:szCs w:val="21"/>
        </w:rPr>
        <w:t>文件中的施工组织设计；</w:t>
      </w:r>
    </w:p>
    <w:p w14:paraId="45CE0137">
      <w:pPr>
        <w:tabs>
          <w:tab w:val="left" w:pos="2790"/>
        </w:tabs>
        <w:snapToGrid w:val="0"/>
        <w:spacing w:line="360" w:lineRule="auto"/>
        <w:ind w:firstLine="420" w:firstLineChars="200"/>
        <w:rPr>
          <w:szCs w:val="21"/>
        </w:rPr>
      </w:pPr>
      <w:r>
        <w:rPr>
          <w:rFonts w:hint="eastAsia"/>
          <w:szCs w:val="21"/>
        </w:rPr>
        <w:t>（</w:t>
      </w:r>
      <w:r>
        <w:rPr>
          <w:szCs w:val="21"/>
        </w:rPr>
        <w:t>13</w:t>
      </w:r>
      <w:r>
        <w:rPr>
          <w:rFonts w:hint="eastAsia"/>
          <w:szCs w:val="21"/>
        </w:rPr>
        <w:t>）其他合同文件。</w:t>
      </w:r>
    </w:p>
    <w:p w14:paraId="50EDCFCA">
      <w:pPr>
        <w:tabs>
          <w:tab w:val="left" w:pos="2790"/>
        </w:tabs>
        <w:spacing w:line="360" w:lineRule="auto"/>
        <w:ind w:firstLine="420" w:firstLineChars="200"/>
        <w:rPr>
          <w:szCs w:val="21"/>
        </w:rPr>
      </w:pPr>
      <w:r>
        <w:rPr>
          <w:rFonts w:hint="eastAsia"/>
          <w:szCs w:val="21"/>
        </w:rPr>
        <w:t>上述合同文件互相补充和解释。如果合同文件之间存在矛盾或不一致之处，以上述排列顺序在先者为准。</w:t>
      </w:r>
    </w:p>
    <w:p w14:paraId="2E66C708">
      <w:pPr>
        <w:tabs>
          <w:tab w:val="left" w:pos="2790"/>
        </w:tabs>
        <w:spacing w:line="360" w:lineRule="auto"/>
        <w:ind w:firstLine="420" w:firstLineChars="200"/>
        <w:rPr>
          <w:szCs w:val="21"/>
        </w:rPr>
      </w:pPr>
      <w:r>
        <w:rPr>
          <w:szCs w:val="21"/>
        </w:rPr>
        <w:t>3.</w:t>
      </w:r>
      <w:r>
        <w:rPr>
          <w:rFonts w:hint="eastAsia"/>
          <w:szCs w:val="21"/>
        </w:rPr>
        <w:t>根据工程量清单所列的预计数量和单价或总额价计算的签约合同价：人民币（大写）</w:t>
      </w:r>
      <w:r>
        <w:rPr>
          <w:szCs w:val="21"/>
          <w:u w:val="single"/>
        </w:rPr>
        <w:t xml:space="preserve">     </w:t>
      </w:r>
      <w:r>
        <w:rPr>
          <w:rFonts w:hint="eastAsia"/>
          <w:szCs w:val="21"/>
        </w:rPr>
        <w:t>元（￥</w:t>
      </w:r>
      <w:r>
        <w:rPr>
          <w:szCs w:val="21"/>
          <w:u w:val="single"/>
        </w:rPr>
        <w:t xml:space="preserve">          </w:t>
      </w:r>
      <w:r>
        <w:rPr>
          <w:rFonts w:hint="eastAsia"/>
          <w:szCs w:val="21"/>
        </w:rPr>
        <w:t>）。</w:t>
      </w:r>
    </w:p>
    <w:p w14:paraId="69E299CB">
      <w:pPr>
        <w:tabs>
          <w:tab w:val="left" w:pos="2790"/>
        </w:tabs>
        <w:spacing w:line="360" w:lineRule="auto"/>
        <w:ind w:firstLine="420" w:firstLineChars="200"/>
        <w:rPr>
          <w:szCs w:val="21"/>
        </w:rPr>
      </w:pPr>
      <w:r>
        <w:rPr>
          <w:szCs w:val="21"/>
        </w:rPr>
        <w:t>4.</w:t>
      </w:r>
      <w:r>
        <w:rPr>
          <w:rFonts w:hint="eastAsia"/>
          <w:szCs w:val="21"/>
        </w:rPr>
        <w:t>承包人项目经理：</w:t>
      </w:r>
      <w:r>
        <w:rPr>
          <w:szCs w:val="21"/>
          <w:u w:val="single"/>
        </w:rPr>
        <w:t xml:space="preserve">            </w:t>
      </w:r>
      <w:r>
        <w:rPr>
          <w:rFonts w:hint="eastAsia"/>
          <w:szCs w:val="21"/>
        </w:rPr>
        <w:t>。承包人项目技术负责人：</w:t>
      </w:r>
      <w:r>
        <w:rPr>
          <w:szCs w:val="21"/>
          <w:u w:val="single"/>
        </w:rPr>
        <w:t xml:space="preserve">           </w:t>
      </w:r>
      <w:r>
        <w:rPr>
          <w:rFonts w:hint="eastAsia"/>
          <w:szCs w:val="21"/>
        </w:rPr>
        <w:t>。安全负责人：</w:t>
      </w:r>
      <w:r>
        <w:rPr>
          <w:szCs w:val="21"/>
          <w:u w:val="single"/>
        </w:rPr>
        <w:t xml:space="preserve">           </w:t>
      </w:r>
      <w:r>
        <w:rPr>
          <w:rFonts w:hint="eastAsia"/>
          <w:szCs w:val="21"/>
        </w:rPr>
        <w:t>。</w:t>
      </w:r>
    </w:p>
    <w:p w14:paraId="32A02751">
      <w:pPr>
        <w:tabs>
          <w:tab w:val="left" w:pos="2790"/>
        </w:tabs>
        <w:spacing w:line="360" w:lineRule="auto"/>
        <w:ind w:firstLine="420" w:firstLineChars="200"/>
        <w:rPr>
          <w:szCs w:val="21"/>
        </w:rPr>
      </w:pPr>
      <w:r>
        <w:rPr>
          <w:szCs w:val="21"/>
        </w:rPr>
        <w:t>5.</w:t>
      </w:r>
      <w:r>
        <w:rPr>
          <w:rFonts w:hint="eastAsia"/>
          <w:szCs w:val="21"/>
        </w:rPr>
        <w:t>工程质量符合</w:t>
      </w:r>
      <w:r>
        <w:rPr>
          <w:szCs w:val="21"/>
          <w:u w:val="single"/>
        </w:rPr>
        <w:t xml:space="preserve">            </w:t>
      </w:r>
      <w:r>
        <w:rPr>
          <w:rFonts w:hint="eastAsia"/>
          <w:szCs w:val="21"/>
        </w:rPr>
        <w:t>标准。工程安全目标：</w:t>
      </w:r>
      <w:r>
        <w:rPr>
          <w:szCs w:val="21"/>
          <w:u w:val="single"/>
        </w:rPr>
        <w:t xml:space="preserve">            </w:t>
      </w:r>
      <w:r>
        <w:rPr>
          <w:rFonts w:hint="eastAsia"/>
          <w:szCs w:val="21"/>
        </w:rPr>
        <w:t>。</w:t>
      </w:r>
    </w:p>
    <w:p w14:paraId="56515605">
      <w:pPr>
        <w:tabs>
          <w:tab w:val="left" w:pos="2790"/>
        </w:tabs>
        <w:spacing w:line="360" w:lineRule="auto"/>
        <w:ind w:firstLine="420" w:firstLineChars="200"/>
        <w:rPr>
          <w:szCs w:val="21"/>
        </w:rPr>
      </w:pPr>
      <w:r>
        <w:rPr>
          <w:szCs w:val="21"/>
        </w:rPr>
        <w:t>6.</w:t>
      </w:r>
      <w:r>
        <w:rPr>
          <w:rFonts w:hint="eastAsia"/>
          <w:szCs w:val="21"/>
        </w:rPr>
        <w:t>承包人承诺按合同约定承担工程的实施、完成及缺陷责任期缺陷修复。</w:t>
      </w:r>
    </w:p>
    <w:p w14:paraId="7CFA144A">
      <w:pPr>
        <w:tabs>
          <w:tab w:val="left" w:pos="2790"/>
        </w:tabs>
        <w:spacing w:line="360" w:lineRule="auto"/>
        <w:ind w:firstLine="420" w:firstLineChars="200"/>
        <w:rPr>
          <w:szCs w:val="21"/>
        </w:rPr>
      </w:pPr>
      <w:r>
        <w:rPr>
          <w:szCs w:val="21"/>
        </w:rPr>
        <w:t>7.</w:t>
      </w:r>
      <w:r>
        <w:rPr>
          <w:rFonts w:hint="eastAsia"/>
          <w:szCs w:val="21"/>
        </w:rPr>
        <w:t>发包人承诺按合同约定的条件、时间和方式向承包人支付合同价款。</w:t>
      </w:r>
    </w:p>
    <w:p w14:paraId="2805200E">
      <w:pPr>
        <w:tabs>
          <w:tab w:val="left" w:pos="2790"/>
        </w:tabs>
        <w:spacing w:line="360" w:lineRule="auto"/>
        <w:ind w:firstLine="420" w:firstLineChars="200"/>
        <w:rPr>
          <w:szCs w:val="21"/>
        </w:rPr>
      </w:pPr>
      <w:r>
        <w:rPr>
          <w:szCs w:val="21"/>
        </w:rPr>
        <w:t>8.</w:t>
      </w:r>
      <w:r>
        <w:rPr>
          <w:rFonts w:hint="eastAsia"/>
          <w:szCs w:val="21"/>
        </w:rPr>
        <w:t>承包人应按照监理人指示开工，工期为</w:t>
      </w:r>
      <w:r>
        <w:rPr>
          <w:szCs w:val="21"/>
          <w:u w:val="single"/>
        </w:rPr>
        <w:t xml:space="preserve">      </w:t>
      </w:r>
      <w:r>
        <w:rPr>
          <w:rFonts w:hint="eastAsia"/>
          <w:szCs w:val="21"/>
        </w:rPr>
        <w:t>日历天。</w:t>
      </w:r>
    </w:p>
    <w:p w14:paraId="353D980B">
      <w:pPr>
        <w:tabs>
          <w:tab w:val="left" w:pos="2790"/>
        </w:tabs>
        <w:spacing w:line="360" w:lineRule="auto"/>
        <w:ind w:firstLine="420" w:firstLineChars="200"/>
        <w:rPr>
          <w:szCs w:val="21"/>
        </w:rPr>
      </w:pPr>
      <w:r>
        <w:rPr>
          <w:szCs w:val="21"/>
        </w:rPr>
        <w:t>9.</w:t>
      </w:r>
      <w:r>
        <w:rPr>
          <w:rFonts w:hint="eastAsia"/>
          <w:szCs w:val="21"/>
        </w:rPr>
        <w:t>本协议书在承包人提供履约保证金后，由双方法定代表人或其委托代理人签署并加盖单位章后生效。全部工程完工后经交工验收合格、缺陷责任期满签发缺陷责任终止证书后失效。</w:t>
      </w:r>
    </w:p>
    <w:p w14:paraId="61DF5D73">
      <w:pPr>
        <w:tabs>
          <w:tab w:val="left" w:pos="2790"/>
        </w:tabs>
        <w:spacing w:line="360" w:lineRule="auto"/>
        <w:ind w:firstLine="420" w:firstLineChars="200"/>
        <w:rPr>
          <w:szCs w:val="21"/>
        </w:rPr>
      </w:pPr>
      <w:r>
        <w:rPr>
          <w:szCs w:val="21"/>
        </w:rPr>
        <w:t>10.</w:t>
      </w:r>
      <w:r>
        <w:rPr>
          <w:rFonts w:hint="eastAsia"/>
          <w:szCs w:val="21"/>
        </w:rPr>
        <w:t>本协议书正本二份、副本</w:t>
      </w:r>
      <w:r>
        <w:rPr>
          <w:szCs w:val="21"/>
          <w:u w:val="single"/>
        </w:rPr>
        <w:t xml:space="preserve">    </w:t>
      </w:r>
      <w:r>
        <w:rPr>
          <w:rFonts w:hint="eastAsia"/>
          <w:szCs w:val="21"/>
        </w:rPr>
        <w:t>份，合同双方各执正本一份，副本</w:t>
      </w:r>
      <w:r>
        <w:rPr>
          <w:szCs w:val="21"/>
          <w:u w:val="single"/>
        </w:rPr>
        <w:t xml:space="preserve">    </w:t>
      </w:r>
      <w:r>
        <w:rPr>
          <w:rFonts w:hint="eastAsia"/>
          <w:szCs w:val="21"/>
        </w:rPr>
        <w:t>份，当正本与副本的内容不一致时，以正本为准。</w:t>
      </w:r>
    </w:p>
    <w:p w14:paraId="048A5992">
      <w:pPr>
        <w:tabs>
          <w:tab w:val="left" w:pos="2790"/>
        </w:tabs>
        <w:spacing w:line="360" w:lineRule="auto"/>
        <w:ind w:firstLine="420" w:firstLineChars="200"/>
        <w:rPr>
          <w:szCs w:val="21"/>
        </w:rPr>
      </w:pPr>
      <w:r>
        <w:rPr>
          <w:szCs w:val="21"/>
        </w:rPr>
        <w:t>11.</w:t>
      </w:r>
      <w:r>
        <w:rPr>
          <w:rFonts w:hint="eastAsia"/>
          <w:szCs w:val="21"/>
        </w:rPr>
        <w:t>合同未尽事宜，双方另行签订补充协议。补充协议是合同的组成部分。</w:t>
      </w:r>
    </w:p>
    <w:p w14:paraId="26BA45E5">
      <w:pPr>
        <w:tabs>
          <w:tab w:val="left" w:pos="2790"/>
        </w:tabs>
        <w:spacing w:line="360" w:lineRule="auto"/>
        <w:ind w:firstLine="420" w:firstLineChars="200"/>
        <w:rPr>
          <w:szCs w:val="21"/>
        </w:rPr>
      </w:pPr>
    </w:p>
    <w:p w14:paraId="0F4062B0">
      <w:pPr>
        <w:tabs>
          <w:tab w:val="left" w:pos="2790"/>
        </w:tabs>
        <w:spacing w:line="360" w:lineRule="auto"/>
        <w:ind w:firstLine="420" w:firstLineChars="200"/>
        <w:rPr>
          <w:szCs w:val="21"/>
        </w:rPr>
      </w:pPr>
    </w:p>
    <w:p w14:paraId="01E8CD4C">
      <w:pPr>
        <w:tabs>
          <w:tab w:val="left" w:pos="2790"/>
        </w:tabs>
        <w:spacing w:line="360" w:lineRule="auto"/>
        <w:rPr>
          <w:szCs w:val="21"/>
        </w:rPr>
      </w:pPr>
      <w:r>
        <w:rPr>
          <w:rFonts w:hint="eastAsia"/>
          <w:szCs w:val="21"/>
        </w:rPr>
        <w:t>发包人：</w:t>
      </w:r>
      <w:r>
        <w:rPr>
          <w:szCs w:val="21"/>
          <w:u w:val="single"/>
        </w:rPr>
        <w:t xml:space="preserve">                  </w:t>
      </w:r>
      <w:r>
        <w:rPr>
          <w:szCs w:val="21"/>
        </w:rPr>
        <w:t xml:space="preserve"> </w:t>
      </w:r>
      <w:r>
        <w:rPr>
          <w:rFonts w:hint="eastAsia"/>
          <w:szCs w:val="21"/>
        </w:rPr>
        <w:t>（盖单位章）</w:t>
      </w:r>
      <w:r>
        <w:rPr>
          <w:szCs w:val="21"/>
        </w:rPr>
        <w:t xml:space="preserve">      </w:t>
      </w:r>
      <w:r>
        <w:rPr>
          <w:rFonts w:hint="eastAsia"/>
          <w:szCs w:val="21"/>
        </w:rPr>
        <w:t>承包人：</w:t>
      </w:r>
      <w:r>
        <w:rPr>
          <w:szCs w:val="21"/>
          <w:u w:val="single"/>
        </w:rPr>
        <w:t xml:space="preserve">                  </w:t>
      </w:r>
      <w:r>
        <w:rPr>
          <w:szCs w:val="21"/>
        </w:rPr>
        <w:t xml:space="preserve"> </w:t>
      </w:r>
      <w:r>
        <w:rPr>
          <w:rFonts w:hint="eastAsia"/>
          <w:szCs w:val="21"/>
        </w:rPr>
        <w:t>（盖单位章）</w:t>
      </w:r>
    </w:p>
    <w:p w14:paraId="41FA0F18">
      <w:pPr>
        <w:tabs>
          <w:tab w:val="left" w:pos="2790"/>
        </w:tabs>
        <w:spacing w:line="360" w:lineRule="auto"/>
        <w:rPr>
          <w:szCs w:val="21"/>
        </w:rPr>
      </w:pPr>
      <w:r>
        <w:rPr>
          <w:rFonts w:hint="eastAsia"/>
          <w:szCs w:val="21"/>
        </w:rPr>
        <w:t>法定代表人或其委托代理人：</w:t>
      </w:r>
      <w:r>
        <w:rPr>
          <w:szCs w:val="21"/>
          <w:u w:val="single"/>
        </w:rPr>
        <w:t xml:space="preserve">     </w:t>
      </w:r>
      <w:r>
        <w:rPr>
          <w:rFonts w:hint="eastAsia"/>
          <w:szCs w:val="21"/>
        </w:rPr>
        <w:t>（签字）</w:t>
      </w:r>
      <w:r>
        <w:rPr>
          <w:szCs w:val="21"/>
        </w:rPr>
        <w:t xml:space="preserve">      </w:t>
      </w:r>
      <w:r>
        <w:rPr>
          <w:rFonts w:hint="eastAsia"/>
          <w:szCs w:val="21"/>
        </w:rPr>
        <w:t>法定代表人或其委托代理人：</w:t>
      </w:r>
      <w:r>
        <w:rPr>
          <w:szCs w:val="21"/>
          <w:u w:val="single"/>
        </w:rPr>
        <w:t xml:space="preserve">     </w:t>
      </w:r>
      <w:r>
        <w:rPr>
          <w:rFonts w:hint="eastAsia"/>
          <w:szCs w:val="21"/>
        </w:rPr>
        <w:t>（签字）</w:t>
      </w:r>
    </w:p>
    <w:p w14:paraId="625165A9">
      <w:pPr>
        <w:tabs>
          <w:tab w:val="left" w:pos="2790"/>
        </w:tabs>
        <w:spacing w:line="360" w:lineRule="auto"/>
        <w:ind w:firstLine="1890" w:firstLineChars="9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25BD53E8">
      <w:pPr>
        <w:tabs>
          <w:tab w:val="left" w:pos="2790"/>
        </w:tabs>
        <w:spacing w:line="360" w:lineRule="auto"/>
        <w:outlineLvl w:val="2"/>
        <w:rPr>
          <w:sz w:val="28"/>
          <w:szCs w:val="28"/>
        </w:rPr>
      </w:pPr>
      <w:r>
        <w:rPr>
          <w:szCs w:val="21"/>
        </w:rPr>
        <w:br w:type="page"/>
      </w:r>
      <w:bookmarkStart w:id="351" w:name="_Toc154675139"/>
      <w:bookmarkStart w:id="352" w:name="_Toc18302"/>
      <w:r>
        <w:rPr>
          <w:rFonts w:hint="eastAsia"/>
          <w:sz w:val="28"/>
          <w:szCs w:val="28"/>
        </w:rPr>
        <w:t>附件二</w:t>
      </w:r>
      <w:r>
        <w:rPr>
          <w:sz w:val="28"/>
          <w:szCs w:val="28"/>
        </w:rPr>
        <w:t xml:space="preserve">  </w:t>
      </w:r>
      <w:r>
        <w:rPr>
          <w:rFonts w:hint="eastAsia"/>
          <w:sz w:val="28"/>
          <w:szCs w:val="28"/>
        </w:rPr>
        <w:t>廉政合同</w:t>
      </w:r>
      <w:bookmarkEnd w:id="351"/>
      <w:bookmarkEnd w:id="352"/>
    </w:p>
    <w:p w14:paraId="6D9D2F84">
      <w:pPr>
        <w:tabs>
          <w:tab w:val="left" w:pos="2790"/>
        </w:tabs>
        <w:spacing w:line="360" w:lineRule="auto"/>
        <w:jc w:val="center"/>
        <w:rPr>
          <w:rFonts w:eastAsia="黑体"/>
          <w:sz w:val="28"/>
          <w:szCs w:val="28"/>
        </w:rPr>
      </w:pPr>
      <w:r>
        <w:rPr>
          <w:rFonts w:hint="eastAsia" w:eastAsia="黑体"/>
          <w:sz w:val="28"/>
          <w:szCs w:val="28"/>
        </w:rPr>
        <w:t>廉政合同</w:t>
      </w:r>
    </w:p>
    <w:p w14:paraId="4F3F9064">
      <w:pPr>
        <w:tabs>
          <w:tab w:val="left" w:pos="2790"/>
        </w:tabs>
        <w:spacing w:line="360" w:lineRule="auto"/>
        <w:jc w:val="center"/>
        <w:rPr>
          <w:rFonts w:eastAsia="黑体"/>
          <w:sz w:val="28"/>
          <w:szCs w:val="28"/>
        </w:rPr>
      </w:pPr>
    </w:p>
    <w:p w14:paraId="77084F53">
      <w:pPr>
        <w:tabs>
          <w:tab w:val="left" w:pos="2790"/>
        </w:tabs>
        <w:spacing w:line="360" w:lineRule="auto"/>
        <w:ind w:firstLine="420" w:firstLineChars="200"/>
        <w:rPr>
          <w:szCs w:val="21"/>
        </w:rPr>
      </w:pPr>
      <w:r>
        <w:rPr>
          <w:rFonts w:hint="eastAsia"/>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Cs w:val="21"/>
          <w:u w:val="single"/>
        </w:rPr>
        <w:t xml:space="preserve">                 </w:t>
      </w:r>
      <w:r>
        <w:rPr>
          <w:rFonts w:hint="eastAsia"/>
          <w:szCs w:val="21"/>
        </w:rPr>
        <w:t>（项目名称）的项目法人</w:t>
      </w:r>
      <w:r>
        <w:rPr>
          <w:szCs w:val="21"/>
          <w:u w:val="single"/>
        </w:rPr>
        <w:t xml:space="preserve">               </w:t>
      </w:r>
      <w:r>
        <w:rPr>
          <w:szCs w:val="21"/>
        </w:rPr>
        <w:t xml:space="preserve"> </w:t>
      </w:r>
      <w:r>
        <w:rPr>
          <w:rFonts w:hint="eastAsia"/>
          <w:szCs w:val="21"/>
        </w:rPr>
        <w:t>（项目法人名称，以下简称</w:t>
      </w:r>
      <w:r>
        <w:rPr>
          <w:szCs w:val="21"/>
        </w:rPr>
        <w:t>“</w:t>
      </w:r>
      <w:r>
        <w:rPr>
          <w:rFonts w:hint="eastAsia"/>
          <w:szCs w:val="21"/>
        </w:rPr>
        <w:t>发包人</w:t>
      </w:r>
      <w:r>
        <w:rPr>
          <w:szCs w:val="21"/>
        </w:rPr>
        <w:t>”</w:t>
      </w:r>
      <w:r>
        <w:rPr>
          <w:rFonts w:hint="eastAsia"/>
          <w:szCs w:val="21"/>
        </w:rPr>
        <w:t>）与该项目</w:t>
      </w:r>
      <w:r>
        <w:rPr>
          <w:szCs w:val="21"/>
          <w:u w:val="single"/>
        </w:rPr>
        <w:t xml:space="preserve">     </w:t>
      </w:r>
      <w:r>
        <w:rPr>
          <w:rFonts w:hint="eastAsia"/>
          <w:szCs w:val="21"/>
        </w:rPr>
        <w:t>标段的施工单位</w:t>
      </w:r>
      <w:r>
        <w:rPr>
          <w:szCs w:val="21"/>
          <w:u w:val="single"/>
        </w:rPr>
        <w:t xml:space="preserve">               </w:t>
      </w:r>
      <w:r>
        <w:rPr>
          <w:szCs w:val="21"/>
        </w:rPr>
        <w:t xml:space="preserve"> </w:t>
      </w:r>
      <w:r>
        <w:rPr>
          <w:rFonts w:hint="eastAsia"/>
          <w:szCs w:val="21"/>
        </w:rPr>
        <w:t>（施工单位名称，以下简称</w:t>
      </w:r>
      <w:r>
        <w:rPr>
          <w:szCs w:val="21"/>
        </w:rPr>
        <w:t>“</w:t>
      </w:r>
      <w:r>
        <w:rPr>
          <w:rFonts w:hint="eastAsia"/>
          <w:szCs w:val="21"/>
        </w:rPr>
        <w:t>承包人</w:t>
      </w:r>
      <w:r>
        <w:rPr>
          <w:szCs w:val="21"/>
        </w:rPr>
        <w:t>”</w:t>
      </w:r>
      <w:r>
        <w:rPr>
          <w:rFonts w:hint="eastAsia"/>
          <w:szCs w:val="21"/>
        </w:rPr>
        <w:t>），特订立如下合同。</w:t>
      </w:r>
    </w:p>
    <w:p w14:paraId="441E12BC">
      <w:pPr>
        <w:tabs>
          <w:tab w:val="left" w:pos="2790"/>
        </w:tabs>
        <w:spacing w:line="360" w:lineRule="auto"/>
        <w:ind w:firstLine="420" w:firstLineChars="200"/>
        <w:rPr>
          <w:szCs w:val="21"/>
        </w:rPr>
      </w:pPr>
      <w:r>
        <w:rPr>
          <w:szCs w:val="21"/>
        </w:rPr>
        <w:t>1.</w:t>
      </w:r>
      <w:r>
        <w:rPr>
          <w:rFonts w:hint="eastAsia"/>
          <w:szCs w:val="21"/>
        </w:rPr>
        <w:t>发包人和承包人双方的权利和义务</w:t>
      </w:r>
    </w:p>
    <w:p w14:paraId="20B815DA">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）严格遵守党的政策规定和国家有关法律法规及交通运输部、浙江省交通运输厅的有关规定。</w:t>
      </w:r>
    </w:p>
    <w:p w14:paraId="4DFC54ED">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）严格执行</w:t>
      </w:r>
      <w:r>
        <w:rPr>
          <w:szCs w:val="21"/>
          <w:u w:val="single"/>
        </w:rPr>
        <w:t xml:space="preserve">         </w:t>
      </w:r>
      <w:r>
        <w:rPr>
          <w:rFonts w:hint="eastAsia"/>
          <w:szCs w:val="21"/>
        </w:rPr>
        <w:t>（项目名称）</w:t>
      </w:r>
      <w:r>
        <w:rPr>
          <w:szCs w:val="21"/>
          <w:u w:val="single"/>
        </w:rPr>
        <w:t xml:space="preserve">     </w:t>
      </w:r>
      <w:r>
        <w:rPr>
          <w:rFonts w:hint="eastAsia"/>
          <w:szCs w:val="21"/>
        </w:rPr>
        <w:t>标段施工合同文件，自觉按合同办事。</w:t>
      </w:r>
    </w:p>
    <w:p w14:paraId="5913349C">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）双方的业务活动坚持公开、公正、诚信、透明的原则（法律认定的商业秘密和合同文件另有规定除外），不得损害国家和集体利益，不得违反工程建设管理规章制度。</w:t>
      </w:r>
    </w:p>
    <w:p w14:paraId="244F75AE">
      <w:pPr>
        <w:tabs>
          <w:tab w:val="left" w:pos="2790"/>
        </w:tabs>
        <w:spacing w:line="360" w:lineRule="auto"/>
        <w:ind w:firstLine="420" w:firstLineChars="200"/>
        <w:rPr>
          <w:szCs w:val="21"/>
        </w:rPr>
      </w:pPr>
      <w:r>
        <w:rPr>
          <w:rFonts w:hint="eastAsia"/>
          <w:szCs w:val="21"/>
        </w:rPr>
        <w:t>（</w:t>
      </w:r>
      <w:r>
        <w:rPr>
          <w:szCs w:val="21"/>
        </w:rPr>
        <w:t>4</w:t>
      </w:r>
      <w:r>
        <w:rPr>
          <w:rFonts w:hint="eastAsia"/>
          <w:szCs w:val="21"/>
        </w:rPr>
        <w:t>）建立健全廉政制度，开展廉政教育，设立廉政告示牌，公布举报电话，监督并认真查处违法违纪行为。</w:t>
      </w:r>
    </w:p>
    <w:p w14:paraId="4A6397EE">
      <w:pPr>
        <w:tabs>
          <w:tab w:val="left" w:pos="2790"/>
        </w:tabs>
        <w:spacing w:line="360" w:lineRule="auto"/>
        <w:ind w:firstLine="420" w:firstLineChars="200"/>
        <w:rPr>
          <w:szCs w:val="21"/>
        </w:rPr>
      </w:pPr>
      <w:r>
        <w:rPr>
          <w:rFonts w:hint="eastAsia"/>
          <w:szCs w:val="21"/>
        </w:rPr>
        <w:t>（</w:t>
      </w:r>
      <w:r>
        <w:rPr>
          <w:szCs w:val="21"/>
        </w:rPr>
        <w:t>5</w:t>
      </w:r>
      <w:r>
        <w:rPr>
          <w:rFonts w:hint="eastAsia"/>
          <w:szCs w:val="21"/>
        </w:rPr>
        <w:t>）发现对方在业务活动中有违反廉政规定的行为，有及时提醒对方纠正的权利和义务。</w:t>
      </w:r>
    </w:p>
    <w:p w14:paraId="22F284AB">
      <w:pPr>
        <w:tabs>
          <w:tab w:val="left" w:pos="2790"/>
        </w:tabs>
        <w:spacing w:line="360" w:lineRule="auto"/>
        <w:ind w:firstLine="420" w:firstLineChars="200"/>
        <w:rPr>
          <w:szCs w:val="21"/>
        </w:rPr>
      </w:pPr>
      <w:r>
        <w:rPr>
          <w:rFonts w:hint="eastAsia"/>
          <w:szCs w:val="21"/>
        </w:rPr>
        <w:t>（</w:t>
      </w:r>
      <w:r>
        <w:rPr>
          <w:szCs w:val="21"/>
        </w:rPr>
        <w:t>6</w:t>
      </w:r>
      <w:r>
        <w:rPr>
          <w:rFonts w:hint="eastAsia"/>
          <w:szCs w:val="21"/>
        </w:rPr>
        <w:t>）发现对方严重违反本合同义务条款的行为，有向其上级有关部门举报、建议给予处理并要求告知处理结果的权利。</w:t>
      </w:r>
    </w:p>
    <w:p w14:paraId="446D75B4">
      <w:pPr>
        <w:tabs>
          <w:tab w:val="left" w:pos="2790"/>
        </w:tabs>
        <w:spacing w:line="360" w:lineRule="auto"/>
        <w:ind w:firstLine="420" w:firstLineChars="200"/>
        <w:rPr>
          <w:szCs w:val="21"/>
        </w:rPr>
      </w:pPr>
      <w:r>
        <w:rPr>
          <w:rFonts w:hint="eastAsia"/>
          <w:szCs w:val="21"/>
        </w:rPr>
        <w:t>（</w:t>
      </w:r>
      <w:r>
        <w:rPr>
          <w:szCs w:val="21"/>
        </w:rPr>
        <w:t>7</w:t>
      </w:r>
      <w:r>
        <w:rPr>
          <w:rFonts w:hint="eastAsia"/>
          <w:szCs w:val="21"/>
        </w:rPr>
        <w:t>）项目建立合同公示制。在合同实施阶段，及时在“阳光监管平台系统”对分包合同等信息进行公示。</w:t>
      </w:r>
    </w:p>
    <w:p w14:paraId="0379590E">
      <w:pPr>
        <w:tabs>
          <w:tab w:val="left" w:pos="2790"/>
        </w:tabs>
        <w:spacing w:line="360" w:lineRule="auto"/>
        <w:ind w:firstLine="420" w:firstLineChars="200"/>
        <w:rPr>
          <w:szCs w:val="21"/>
        </w:rPr>
      </w:pPr>
      <w:r>
        <w:rPr>
          <w:rFonts w:hint="eastAsia"/>
          <w:szCs w:val="21"/>
        </w:rPr>
        <w:t>（</w:t>
      </w:r>
      <w:r>
        <w:rPr>
          <w:szCs w:val="21"/>
        </w:rPr>
        <w:t>8</w:t>
      </w:r>
      <w:r>
        <w:rPr>
          <w:rFonts w:hint="eastAsia"/>
          <w:szCs w:val="21"/>
        </w:rPr>
        <w:t>）项目建立廉政监督制。廉政分包监督要求，明确监督单位或部门及廉政监督电话。</w:t>
      </w:r>
    </w:p>
    <w:p w14:paraId="4C3D0DA8">
      <w:pPr>
        <w:tabs>
          <w:tab w:val="left" w:pos="2790"/>
        </w:tabs>
        <w:spacing w:line="360" w:lineRule="auto"/>
        <w:ind w:firstLine="420" w:firstLineChars="200"/>
        <w:rPr>
          <w:szCs w:val="21"/>
        </w:rPr>
      </w:pPr>
      <w:r>
        <w:rPr>
          <w:rFonts w:hint="eastAsia"/>
          <w:szCs w:val="21"/>
        </w:rPr>
        <w:t>（</w:t>
      </w:r>
      <w:r>
        <w:rPr>
          <w:szCs w:val="21"/>
        </w:rPr>
        <w:t>9</w:t>
      </w:r>
      <w:r>
        <w:rPr>
          <w:rFonts w:hint="eastAsia"/>
          <w:szCs w:val="21"/>
        </w:rPr>
        <w:t>）项目建立信用管理制。廉政、合同履约及分包管理等行为纳入承包人信用评价制度。</w:t>
      </w:r>
    </w:p>
    <w:p w14:paraId="29EF4A5E">
      <w:pPr>
        <w:tabs>
          <w:tab w:val="left" w:pos="2790"/>
        </w:tabs>
        <w:spacing w:line="360" w:lineRule="auto"/>
        <w:ind w:firstLine="420" w:firstLineChars="200"/>
        <w:rPr>
          <w:szCs w:val="21"/>
        </w:rPr>
      </w:pPr>
      <w:r>
        <w:rPr>
          <w:szCs w:val="21"/>
        </w:rPr>
        <w:t>2.</w:t>
      </w:r>
      <w:r>
        <w:rPr>
          <w:rFonts w:hint="eastAsia"/>
          <w:szCs w:val="21"/>
        </w:rPr>
        <w:t>发包人的义务</w:t>
      </w:r>
    </w:p>
    <w:p w14:paraId="271762AC">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）发包人及其工作人员不得索要或接受承包人的礼金、有价证券和其他物品，不得让承包人报销任何应由发包人或发包人工作人员个人支付的费用等。</w:t>
      </w:r>
    </w:p>
    <w:p w14:paraId="024D389B">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）发包人工作人员不得参加承包人安排的宴请和娱乐活动；不得接受承包人提供的通讯工具、交通工具和办公用品等。</w:t>
      </w:r>
    </w:p>
    <w:p w14:paraId="267E5AC3">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）发包人及其工作人员不得要求或者接受承包人为其住房装修、婚丧嫁娶活动、配偶子女的工作安排以及出国出境、旅游等提供方便等。</w:t>
      </w:r>
    </w:p>
    <w:p w14:paraId="2B91EDB6">
      <w:pPr>
        <w:tabs>
          <w:tab w:val="left" w:pos="2790"/>
        </w:tabs>
        <w:spacing w:line="360" w:lineRule="auto"/>
        <w:ind w:firstLine="420" w:firstLineChars="200"/>
        <w:rPr>
          <w:szCs w:val="21"/>
        </w:rPr>
      </w:pPr>
      <w:r>
        <w:rPr>
          <w:rFonts w:hint="eastAsia"/>
          <w:szCs w:val="21"/>
        </w:rPr>
        <w:t>（</w:t>
      </w:r>
      <w:r>
        <w:rPr>
          <w:szCs w:val="21"/>
        </w:rPr>
        <w:t>4</w:t>
      </w:r>
      <w:r>
        <w:rPr>
          <w:rFonts w:hint="eastAsia"/>
          <w:szCs w:val="21"/>
        </w:rPr>
        <w:t>）发包人工作人员及其配偶、子女不得从事与发包人工程有关的材料设备供应、工程分包、劳务等经济活动等。</w:t>
      </w:r>
    </w:p>
    <w:p w14:paraId="150D7167">
      <w:pPr>
        <w:tabs>
          <w:tab w:val="left" w:pos="2790"/>
        </w:tabs>
        <w:spacing w:line="360" w:lineRule="auto"/>
        <w:ind w:firstLine="420" w:firstLineChars="200"/>
        <w:rPr>
          <w:szCs w:val="21"/>
        </w:rPr>
      </w:pPr>
      <w:r>
        <w:rPr>
          <w:rFonts w:hint="eastAsia"/>
          <w:szCs w:val="21"/>
        </w:rPr>
        <w:t>（</w:t>
      </w:r>
      <w:r>
        <w:rPr>
          <w:szCs w:val="21"/>
        </w:rPr>
        <w:t>5</w:t>
      </w:r>
      <w:r>
        <w:rPr>
          <w:rFonts w:hint="eastAsia"/>
          <w:szCs w:val="21"/>
        </w:rPr>
        <w:t>）发包人及其工作人员不得以任何理由向承包人推荐分包单位或推销材料，不得要求承包人购买合同规定外的材料和设备。</w:t>
      </w:r>
    </w:p>
    <w:p w14:paraId="4A9CB96F">
      <w:pPr>
        <w:tabs>
          <w:tab w:val="left" w:pos="2790"/>
        </w:tabs>
        <w:spacing w:line="360" w:lineRule="auto"/>
        <w:ind w:firstLine="420" w:firstLineChars="200"/>
        <w:rPr>
          <w:szCs w:val="21"/>
        </w:rPr>
      </w:pPr>
      <w:r>
        <w:rPr>
          <w:rFonts w:hint="eastAsia"/>
          <w:szCs w:val="21"/>
        </w:rPr>
        <w:t>（</w:t>
      </w:r>
      <w:r>
        <w:rPr>
          <w:szCs w:val="21"/>
        </w:rPr>
        <w:t>6</w:t>
      </w:r>
      <w:r>
        <w:rPr>
          <w:rFonts w:hint="eastAsia"/>
          <w:szCs w:val="21"/>
        </w:rPr>
        <w:t>）发包人工作人员要秉公办事，不准营私舞弊，不准利用职权从事各种个人有偿中介活动和安排个人施工队伍。</w:t>
      </w:r>
    </w:p>
    <w:p w14:paraId="2C53A3ED">
      <w:pPr>
        <w:tabs>
          <w:tab w:val="left" w:pos="2790"/>
        </w:tabs>
        <w:spacing w:line="360" w:lineRule="auto"/>
        <w:ind w:firstLine="420" w:firstLineChars="200"/>
        <w:rPr>
          <w:szCs w:val="21"/>
        </w:rPr>
      </w:pPr>
      <w:r>
        <w:rPr>
          <w:szCs w:val="21"/>
        </w:rPr>
        <w:t>3.</w:t>
      </w:r>
      <w:r>
        <w:rPr>
          <w:rFonts w:hint="eastAsia"/>
          <w:szCs w:val="21"/>
        </w:rPr>
        <w:t>承包人的义务</w:t>
      </w:r>
    </w:p>
    <w:p w14:paraId="4083A225">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）承包人不得以任何理由向发包人及其工作人员行贿或馈赠礼金、有价证券、礼品。</w:t>
      </w:r>
    </w:p>
    <w:p w14:paraId="26A03F1E">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）承包人不得以任何名义为发包人及其工作人员报销应由发包人单位或个人支付的任何费用。</w:t>
      </w:r>
    </w:p>
    <w:p w14:paraId="78CA641E">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）承包人不得以任何理由安排发包人工作人员参加宴请及娱乐活动。</w:t>
      </w:r>
    </w:p>
    <w:p w14:paraId="37F425EE">
      <w:pPr>
        <w:tabs>
          <w:tab w:val="left" w:pos="2790"/>
        </w:tabs>
        <w:spacing w:line="360" w:lineRule="auto"/>
        <w:ind w:firstLine="420" w:firstLineChars="200"/>
        <w:rPr>
          <w:szCs w:val="21"/>
        </w:rPr>
      </w:pPr>
      <w:r>
        <w:rPr>
          <w:rFonts w:hint="eastAsia"/>
          <w:szCs w:val="21"/>
        </w:rPr>
        <w:t>（</w:t>
      </w:r>
      <w:r>
        <w:rPr>
          <w:szCs w:val="21"/>
        </w:rPr>
        <w:t>4</w:t>
      </w:r>
      <w:r>
        <w:rPr>
          <w:rFonts w:hint="eastAsia"/>
          <w:szCs w:val="21"/>
        </w:rPr>
        <w:t>）承包人不得为发包人单位和个人购置或提供通讯工具、交通工具和办公用品等。</w:t>
      </w:r>
    </w:p>
    <w:p w14:paraId="2FA56920">
      <w:pPr>
        <w:tabs>
          <w:tab w:val="left" w:pos="2790"/>
        </w:tabs>
        <w:spacing w:line="360" w:lineRule="auto"/>
        <w:ind w:firstLine="420" w:firstLineChars="200"/>
        <w:rPr>
          <w:szCs w:val="21"/>
        </w:rPr>
      </w:pPr>
      <w:r>
        <w:rPr>
          <w:szCs w:val="21"/>
        </w:rPr>
        <w:t>4.</w:t>
      </w:r>
      <w:r>
        <w:rPr>
          <w:rFonts w:hint="eastAsia"/>
          <w:szCs w:val="21"/>
        </w:rPr>
        <w:t>违约责任</w:t>
      </w:r>
    </w:p>
    <w:p w14:paraId="74678BCB">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）发包人及其工作人员违反本合同第</w:t>
      </w:r>
      <w:r>
        <w:rPr>
          <w:szCs w:val="21"/>
        </w:rPr>
        <w:t>1</w:t>
      </w:r>
      <w:r>
        <w:rPr>
          <w:rFonts w:hint="eastAsia"/>
          <w:szCs w:val="21"/>
        </w:rPr>
        <w:t>、</w:t>
      </w:r>
      <w:r>
        <w:rPr>
          <w:szCs w:val="21"/>
        </w:rPr>
        <w:t>2</w:t>
      </w:r>
      <w:r>
        <w:rPr>
          <w:rFonts w:hint="eastAsia"/>
          <w:szCs w:val="21"/>
        </w:rPr>
        <w:t>条，按管理权限，依据有关规定给予党纪、政纪或组织处理；涉嫌犯罪的，移交司法机关追究刑事责任；给承包人单位造成经济损失的，应予以赔偿。</w:t>
      </w:r>
    </w:p>
    <w:p w14:paraId="2004698B">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）承包人及其工作人员违反本合同第</w:t>
      </w:r>
      <w:r>
        <w:rPr>
          <w:szCs w:val="21"/>
        </w:rPr>
        <w:t>1</w:t>
      </w:r>
      <w:r>
        <w:rPr>
          <w:rFonts w:hint="eastAsia"/>
          <w:szCs w:val="21"/>
        </w:rPr>
        <w:t>、</w:t>
      </w:r>
      <w:r>
        <w:rPr>
          <w:szCs w:val="21"/>
        </w:rPr>
        <w:t>3</w:t>
      </w:r>
      <w:r>
        <w:rPr>
          <w:rFonts w:hint="eastAsia"/>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14:paraId="24E85745">
      <w:pPr>
        <w:tabs>
          <w:tab w:val="left" w:pos="2790"/>
        </w:tabs>
        <w:spacing w:line="360" w:lineRule="auto"/>
        <w:ind w:firstLine="420" w:firstLineChars="200"/>
        <w:rPr>
          <w:szCs w:val="21"/>
        </w:rPr>
      </w:pPr>
      <w:r>
        <w:rPr>
          <w:szCs w:val="21"/>
        </w:rPr>
        <w:t>5.</w:t>
      </w:r>
      <w:r>
        <w:rPr>
          <w:rFonts w:hint="eastAsia"/>
          <w:szCs w:val="21"/>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183087D">
      <w:pPr>
        <w:tabs>
          <w:tab w:val="left" w:pos="2790"/>
        </w:tabs>
        <w:spacing w:line="360" w:lineRule="auto"/>
        <w:ind w:firstLine="420" w:firstLineChars="200"/>
        <w:rPr>
          <w:szCs w:val="21"/>
        </w:rPr>
      </w:pPr>
      <w:r>
        <w:rPr>
          <w:szCs w:val="21"/>
        </w:rPr>
        <w:t>6.</w:t>
      </w:r>
      <w:r>
        <w:rPr>
          <w:rFonts w:hint="eastAsia"/>
          <w:szCs w:val="21"/>
        </w:rPr>
        <w:t>本合同有效期为发包人和承包人签署之日起至该工程项目竣工验收后止。</w:t>
      </w:r>
    </w:p>
    <w:p w14:paraId="49E4E874">
      <w:pPr>
        <w:tabs>
          <w:tab w:val="left" w:pos="2790"/>
        </w:tabs>
        <w:spacing w:line="360" w:lineRule="auto"/>
        <w:ind w:firstLine="420" w:firstLineChars="200"/>
        <w:rPr>
          <w:szCs w:val="21"/>
        </w:rPr>
      </w:pPr>
      <w:r>
        <w:rPr>
          <w:szCs w:val="21"/>
        </w:rPr>
        <w:t>7.</w:t>
      </w:r>
      <w:r>
        <w:rPr>
          <w:rFonts w:hint="eastAsia"/>
          <w:szCs w:val="21"/>
        </w:rPr>
        <w:t>本合同作为</w:t>
      </w:r>
      <w:r>
        <w:rPr>
          <w:szCs w:val="21"/>
          <w:u w:val="single"/>
        </w:rPr>
        <w:t xml:space="preserve">                     </w:t>
      </w:r>
      <w:r>
        <w:rPr>
          <w:szCs w:val="21"/>
        </w:rPr>
        <w:t xml:space="preserve"> </w:t>
      </w:r>
      <w:r>
        <w:rPr>
          <w:rFonts w:hint="eastAsia"/>
          <w:szCs w:val="21"/>
        </w:rPr>
        <w:t>（项目名称）</w:t>
      </w:r>
      <w:r>
        <w:rPr>
          <w:szCs w:val="21"/>
          <w:u w:val="single"/>
        </w:rPr>
        <w:t xml:space="preserve">     </w:t>
      </w:r>
      <w:r>
        <w:rPr>
          <w:rFonts w:hint="eastAsia"/>
          <w:szCs w:val="21"/>
        </w:rPr>
        <w:t>标段施工合同的附件，与工程施工合同具有同等的法律效力，经合同双方签署后立即生效。</w:t>
      </w:r>
    </w:p>
    <w:p w14:paraId="2DD81B26">
      <w:pPr>
        <w:tabs>
          <w:tab w:val="left" w:pos="2790"/>
        </w:tabs>
        <w:spacing w:line="360" w:lineRule="auto"/>
        <w:ind w:firstLine="420" w:firstLineChars="200"/>
        <w:rPr>
          <w:szCs w:val="21"/>
        </w:rPr>
      </w:pPr>
      <w:r>
        <w:rPr>
          <w:szCs w:val="21"/>
        </w:rPr>
        <w:t>8.</w:t>
      </w:r>
      <w:r>
        <w:rPr>
          <w:rFonts w:hint="eastAsia"/>
          <w:szCs w:val="21"/>
        </w:rPr>
        <w:t>本合同一式四份，由发包人和承包人各执一份，送交发包人和承包人的监督单位各一份。</w:t>
      </w:r>
    </w:p>
    <w:p w14:paraId="72FA50B5">
      <w:pPr>
        <w:tabs>
          <w:tab w:val="left" w:pos="2790"/>
        </w:tabs>
        <w:spacing w:line="360" w:lineRule="auto"/>
        <w:rPr>
          <w:szCs w:val="21"/>
        </w:rPr>
      </w:pPr>
    </w:p>
    <w:p w14:paraId="3607CD07">
      <w:pPr>
        <w:tabs>
          <w:tab w:val="left" w:pos="2790"/>
        </w:tabs>
        <w:spacing w:line="360" w:lineRule="auto"/>
        <w:rPr>
          <w:szCs w:val="21"/>
        </w:rPr>
      </w:pPr>
      <w:r>
        <w:rPr>
          <w:rFonts w:hint="eastAsia"/>
          <w:szCs w:val="21"/>
        </w:rPr>
        <w:t>发包人：</w:t>
      </w:r>
      <w:r>
        <w:rPr>
          <w:szCs w:val="21"/>
          <w:u w:val="single"/>
        </w:rPr>
        <w:t xml:space="preserve">                  </w:t>
      </w:r>
      <w:r>
        <w:rPr>
          <w:szCs w:val="21"/>
        </w:rPr>
        <w:t xml:space="preserve"> </w:t>
      </w:r>
      <w:r>
        <w:rPr>
          <w:rFonts w:hint="eastAsia"/>
          <w:szCs w:val="21"/>
        </w:rPr>
        <w:t>（盖单位章）</w:t>
      </w:r>
      <w:r>
        <w:rPr>
          <w:szCs w:val="21"/>
        </w:rPr>
        <w:t xml:space="preserve">     </w:t>
      </w:r>
      <w:r>
        <w:rPr>
          <w:rFonts w:hint="eastAsia"/>
          <w:szCs w:val="21"/>
        </w:rPr>
        <w:t>承包人：</w:t>
      </w:r>
      <w:r>
        <w:rPr>
          <w:szCs w:val="21"/>
          <w:u w:val="single"/>
        </w:rPr>
        <w:t xml:space="preserve">                  </w:t>
      </w:r>
      <w:r>
        <w:rPr>
          <w:szCs w:val="21"/>
        </w:rPr>
        <w:t xml:space="preserve"> </w:t>
      </w:r>
      <w:r>
        <w:rPr>
          <w:rFonts w:hint="eastAsia"/>
          <w:szCs w:val="21"/>
        </w:rPr>
        <w:t>（盖单位章）</w:t>
      </w:r>
    </w:p>
    <w:p w14:paraId="03567131">
      <w:pPr>
        <w:tabs>
          <w:tab w:val="left" w:pos="2790"/>
        </w:tabs>
        <w:spacing w:line="360" w:lineRule="auto"/>
        <w:rPr>
          <w:szCs w:val="21"/>
        </w:rPr>
      </w:pPr>
      <w:r>
        <w:rPr>
          <w:rFonts w:hint="eastAsia"/>
          <w:szCs w:val="21"/>
        </w:rPr>
        <w:t>法定代表人或其委托代理人：</w:t>
      </w:r>
      <w:r>
        <w:rPr>
          <w:szCs w:val="21"/>
          <w:u w:val="single"/>
        </w:rPr>
        <w:t xml:space="preserve">     </w:t>
      </w:r>
      <w:r>
        <w:rPr>
          <w:rFonts w:hint="eastAsia"/>
          <w:szCs w:val="21"/>
        </w:rPr>
        <w:t>（签字）</w:t>
      </w:r>
      <w:r>
        <w:rPr>
          <w:szCs w:val="21"/>
        </w:rPr>
        <w:t xml:space="preserve">     </w:t>
      </w:r>
      <w:r>
        <w:rPr>
          <w:rFonts w:hint="eastAsia"/>
          <w:szCs w:val="21"/>
        </w:rPr>
        <w:t>法定代表人或其委托代理人：</w:t>
      </w:r>
      <w:r>
        <w:rPr>
          <w:szCs w:val="21"/>
          <w:u w:val="single"/>
        </w:rPr>
        <w:t xml:space="preserve">     </w:t>
      </w:r>
      <w:r>
        <w:rPr>
          <w:rFonts w:hint="eastAsia"/>
          <w:szCs w:val="21"/>
        </w:rPr>
        <w:t>（签字）</w:t>
      </w:r>
    </w:p>
    <w:p w14:paraId="5D607EE8">
      <w:pPr>
        <w:tabs>
          <w:tab w:val="left" w:pos="2790"/>
        </w:tabs>
        <w:spacing w:line="360" w:lineRule="auto"/>
        <w:ind w:firstLine="1890" w:firstLineChars="9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3EE934A">
      <w:pPr>
        <w:tabs>
          <w:tab w:val="left" w:pos="2790"/>
        </w:tabs>
        <w:spacing w:line="360" w:lineRule="auto"/>
        <w:outlineLvl w:val="2"/>
        <w:rPr>
          <w:sz w:val="28"/>
          <w:szCs w:val="28"/>
        </w:rPr>
      </w:pPr>
      <w:r>
        <w:rPr>
          <w:sz w:val="24"/>
        </w:rPr>
        <w:br w:type="page"/>
      </w:r>
      <w:bookmarkStart w:id="353" w:name="_Toc22640"/>
      <w:bookmarkStart w:id="354" w:name="_Toc154675140"/>
      <w:r>
        <w:rPr>
          <w:rFonts w:hint="eastAsia"/>
          <w:sz w:val="28"/>
          <w:szCs w:val="28"/>
        </w:rPr>
        <w:t>附件三</w:t>
      </w:r>
      <w:r>
        <w:rPr>
          <w:sz w:val="28"/>
          <w:szCs w:val="28"/>
        </w:rPr>
        <w:t xml:space="preserve">  </w:t>
      </w:r>
      <w:r>
        <w:rPr>
          <w:rFonts w:hint="eastAsia"/>
          <w:sz w:val="28"/>
          <w:szCs w:val="28"/>
        </w:rPr>
        <w:t>安全生产合同</w:t>
      </w:r>
      <w:bookmarkEnd w:id="353"/>
      <w:bookmarkEnd w:id="354"/>
    </w:p>
    <w:p w14:paraId="1386B1F2">
      <w:pPr>
        <w:tabs>
          <w:tab w:val="left" w:pos="2790"/>
        </w:tabs>
        <w:spacing w:line="360" w:lineRule="auto"/>
        <w:jc w:val="center"/>
        <w:rPr>
          <w:rFonts w:eastAsia="黑体"/>
          <w:sz w:val="28"/>
          <w:szCs w:val="28"/>
        </w:rPr>
      </w:pPr>
      <w:r>
        <w:rPr>
          <w:rFonts w:hint="eastAsia" w:eastAsia="黑体"/>
          <w:sz w:val="28"/>
          <w:szCs w:val="28"/>
        </w:rPr>
        <w:t>安全生产合同</w:t>
      </w:r>
    </w:p>
    <w:p w14:paraId="6E2A5699">
      <w:pPr>
        <w:tabs>
          <w:tab w:val="left" w:pos="2790"/>
        </w:tabs>
        <w:spacing w:line="360" w:lineRule="auto"/>
        <w:jc w:val="center"/>
        <w:rPr>
          <w:rFonts w:eastAsia="黑体"/>
          <w:sz w:val="28"/>
          <w:szCs w:val="28"/>
        </w:rPr>
      </w:pPr>
    </w:p>
    <w:p w14:paraId="246665D6">
      <w:pPr>
        <w:tabs>
          <w:tab w:val="left" w:pos="2790"/>
        </w:tabs>
        <w:spacing w:line="360" w:lineRule="auto"/>
        <w:ind w:firstLine="420" w:firstLineChars="200"/>
        <w:rPr>
          <w:szCs w:val="21"/>
        </w:rPr>
      </w:pPr>
      <w:r>
        <w:rPr>
          <w:rFonts w:hint="eastAsia"/>
          <w:szCs w:val="21"/>
        </w:rPr>
        <w:t>为在</w:t>
      </w:r>
      <w:r>
        <w:rPr>
          <w:szCs w:val="21"/>
          <w:u w:val="single"/>
        </w:rPr>
        <w:t xml:space="preserve">               </w:t>
      </w:r>
      <w:r>
        <w:rPr>
          <w:rFonts w:hint="eastAsia"/>
          <w:szCs w:val="21"/>
        </w:rPr>
        <w:t>（项目名称）</w:t>
      </w:r>
      <w:r>
        <w:rPr>
          <w:szCs w:val="21"/>
          <w:u w:val="single"/>
        </w:rPr>
        <w:t xml:space="preserve">     </w:t>
      </w:r>
      <w:r>
        <w:rPr>
          <w:rFonts w:hint="eastAsia"/>
          <w:szCs w:val="21"/>
        </w:rPr>
        <w:t>标段施工合同的实施过程中创造安全、高效的施工环境，切实搞好本项目的安全管理工作，本项目发包人</w:t>
      </w:r>
      <w:r>
        <w:rPr>
          <w:szCs w:val="21"/>
          <w:u w:val="single"/>
        </w:rPr>
        <w:t xml:space="preserve">              </w:t>
      </w:r>
      <w:r>
        <w:rPr>
          <w:szCs w:val="21"/>
        </w:rPr>
        <w:t xml:space="preserve"> </w:t>
      </w:r>
      <w:r>
        <w:rPr>
          <w:rFonts w:hint="eastAsia"/>
          <w:szCs w:val="21"/>
        </w:rPr>
        <w:t>（发包人名称，以下简称</w:t>
      </w:r>
      <w:r>
        <w:rPr>
          <w:szCs w:val="21"/>
        </w:rPr>
        <w:t>“</w:t>
      </w:r>
      <w:r>
        <w:rPr>
          <w:rFonts w:hint="eastAsia"/>
          <w:szCs w:val="21"/>
        </w:rPr>
        <w:t>发包人</w:t>
      </w:r>
      <w:r>
        <w:rPr>
          <w:szCs w:val="21"/>
        </w:rPr>
        <w:t>”</w:t>
      </w:r>
      <w:r>
        <w:rPr>
          <w:rFonts w:hint="eastAsia"/>
          <w:szCs w:val="21"/>
        </w:rPr>
        <w:t>）与承包人</w:t>
      </w:r>
      <w:r>
        <w:rPr>
          <w:szCs w:val="21"/>
          <w:u w:val="single"/>
        </w:rPr>
        <w:t xml:space="preserve">               </w:t>
      </w:r>
      <w:r>
        <w:rPr>
          <w:szCs w:val="21"/>
        </w:rPr>
        <w:t xml:space="preserve"> </w:t>
      </w:r>
      <w:r>
        <w:rPr>
          <w:rFonts w:hint="eastAsia"/>
          <w:szCs w:val="21"/>
        </w:rPr>
        <w:t>（承包人名称，以下简称</w:t>
      </w:r>
      <w:r>
        <w:rPr>
          <w:szCs w:val="21"/>
        </w:rPr>
        <w:t>“</w:t>
      </w:r>
      <w:r>
        <w:rPr>
          <w:rFonts w:hint="eastAsia"/>
          <w:szCs w:val="21"/>
        </w:rPr>
        <w:t>承包人</w:t>
      </w:r>
      <w:r>
        <w:rPr>
          <w:szCs w:val="21"/>
        </w:rPr>
        <w:t>”</w:t>
      </w:r>
      <w:r>
        <w:rPr>
          <w:rFonts w:hint="eastAsia"/>
          <w:szCs w:val="21"/>
        </w:rPr>
        <w:t>）特此签订安全生产合同：</w:t>
      </w:r>
    </w:p>
    <w:p w14:paraId="44B6FA4F">
      <w:pPr>
        <w:tabs>
          <w:tab w:val="left" w:pos="2790"/>
        </w:tabs>
        <w:spacing w:line="360" w:lineRule="auto"/>
        <w:ind w:firstLine="420" w:firstLineChars="200"/>
        <w:rPr>
          <w:szCs w:val="21"/>
        </w:rPr>
      </w:pPr>
      <w:r>
        <w:rPr>
          <w:szCs w:val="21"/>
        </w:rPr>
        <w:t xml:space="preserve">1. </w:t>
      </w:r>
      <w:r>
        <w:rPr>
          <w:rFonts w:hint="eastAsia"/>
          <w:szCs w:val="21"/>
        </w:rPr>
        <w:t>发包人职责</w:t>
      </w:r>
    </w:p>
    <w:p w14:paraId="41796FC6">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）严格遵守国家有关安全生产的法律法规，认真执行工程承包合同中的有关安全要求。</w:t>
      </w:r>
    </w:p>
    <w:p w14:paraId="6460988E">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安全生产工作应当以人为本，坚持人民至上、生命至上，把保护人民生命安全摆在首位，树牢安全发展理念，坚持安全第一、预防为主、综合治理的方针，从源头上防范化解重大安全风险。做到生产与安全工作同时计划、布置、检查、总结和评比。</w:t>
      </w:r>
    </w:p>
    <w:p w14:paraId="03793AEC">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）重要的安全设施必须坚持与主体工程</w:t>
      </w:r>
      <w:r>
        <w:rPr>
          <w:szCs w:val="21"/>
        </w:rPr>
        <w:t>“</w:t>
      </w:r>
      <w:r>
        <w:rPr>
          <w:rFonts w:hint="eastAsia"/>
          <w:szCs w:val="21"/>
        </w:rPr>
        <w:t>三同时</w:t>
      </w:r>
      <w:r>
        <w:rPr>
          <w:szCs w:val="21"/>
        </w:rPr>
        <w:t>”</w:t>
      </w:r>
      <w:r>
        <w:rPr>
          <w:rFonts w:hint="eastAsia"/>
          <w:szCs w:val="21"/>
        </w:rPr>
        <w:t>的原则，即：新建、改建、扩建工程项目的安全设施，必须与主体工程同时设计、同时施工、同时投入生产和使用。安全设施投资应当纳入项目概算。</w:t>
      </w:r>
    </w:p>
    <w:p w14:paraId="35C250F4">
      <w:pPr>
        <w:tabs>
          <w:tab w:val="left" w:pos="2790"/>
        </w:tabs>
        <w:spacing w:line="360" w:lineRule="auto"/>
        <w:ind w:firstLine="420" w:firstLineChars="200"/>
        <w:rPr>
          <w:szCs w:val="21"/>
        </w:rPr>
      </w:pPr>
      <w:r>
        <w:rPr>
          <w:rFonts w:hint="eastAsia"/>
          <w:szCs w:val="21"/>
        </w:rPr>
        <w:t>（</w:t>
      </w:r>
      <w:r>
        <w:rPr>
          <w:szCs w:val="21"/>
        </w:rPr>
        <w:t>4</w:t>
      </w:r>
      <w:r>
        <w:rPr>
          <w:rFonts w:hint="eastAsia"/>
          <w:szCs w:val="21"/>
        </w:rPr>
        <w:t>）定期召开安全生产调度会，及时传达中央及地方有关安全生产的精神。</w:t>
      </w:r>
    </w:p>
    <w:p w14:paraId="31ED5E0B">
      <w:pPr>
        <w:tabs>
          <w:tab w:val="left" w:pos="2790"/>
        </w:tabs>
        <w:spacing w:line="360" w:lineRule="auto"/>
        <w:ind w:firstLine="420" w:firstLineChars="200"/>
        <w:rPr>
          <w:szCs w:val="21"/>
        </w:rPr>
      </w:pPr>
      <w:r>
        <w:rPr>
          <w:rFonts w:hint="eastAsia"/>
          <w:szCs w:val="21"/>
        </w:rPr>
        <w:t>（</w:t>
      </w:r>
      <w:r>
        <w:rPr>
          <w:szCs w:val="21"/>
        </w:rPr>
        <w:t>5</w:t>
      </w:r>
      <w:r>
        <w:rPr>
          <w:rFonts w:hint="eastAsia"/>
          <w:szCs w:val="21"/>
        </w:rPr>
        <w:t>）发包人对安全生产承担全面管理责任，督促承包人加强安全生产管理</w:t>
      </w:r>
      <w:r>
        <w:rPr>
          <w:szCs w:val="21"/>
        </w:rPr>
        <w:t>,</w:t>
      </w:r>
      <w:r>
        <w:rPr>
          <w:rFonts w:hint="eastAsia"/>
          <w:szCs w:val="21"/>
        </w:rPr>
        <w:t>按照规定要求开展施工安全总体风险评估和安全生产条件检查以及日常检查</w:t>
      </w:r>
      <w:r>
        <w:rPr>
          <w:szCs w:val="21"/>
        </w:rPr>
        <w:t>,</w:t>
      </w:r>
      <w:r>
        <w:rPr>
          <w:rFonts w:hint="eastAsia"/>
          <w:szCs w:val="21"/>
        </w:rPr>
        <w:t>发现生产安全事故隐患的</w:t>
      </w:r>
      <w:r>
        <w:rPr>
          <w:szCs w:val="21"/>
        </w:rPr>
        <w:t>,</w:t>
      </w:r>
      <w:r>
        <w:rPr>
          <w:rFonts w:hint="eastAsia"/>
          <w:szCs w:val="21"/>
        </w:rPr>
        <w:t>及时组织整改。</w:t>
      </w:r>
    </w:p>
    <w:p w14:paraId="0F47B57F">
      <w:pPr>
        <w:tabs>
          <w:tab w:val="left" w:pos="2790"/>
        </w:tabs>
        <w:spacing w:line="360" w:lineRule="auto"/>
        <w:ind w:firstLine="420" w:firstLineChars="200"/>
        <w:rPr>
          <w:szCs w:val="21"/>
        </w:rPr>
      </w:pPr>
      <w:r>
        <w:rPr>
          <w:rFonts w:hint="eastAsia"/>
          <w:szCs w:val="21"/>
        </w:rPr>
        <w:t>（</w:t>
      </w:r>
      <w:r>
        <w:rPr>
          <w:rFonts w:hint="eastAsia"/>
          <w:szCs w:val="21"/>
          <w:lang w:val="en-US" w:eastAsia="zh-CN"/>
        </w:rPr>
        <w:t>6</w:t>
      </w:r>
      <w:r>
        <w:rPr>
          <w:rFonts w:hint="eastAsia"/>
          <w:szCs w:val="21"/>
        </w:rPr>
        <w:t>）两个及以上承包人在同一作业区域内进行施工作业，可能危及对方生产安全的，发包人应当牵头协调承包人签订安全生产管理协议。</w:t>
      </w:r>
    </w:p>
    <w:p w14:paraId="5C8322B0">
      <w:pPr>
        <w:tabs>
          <w:tab w:val="left" w:pos="2790"/>
        </w:tabs>
        <w:spacing w:line="360" w:lineRule="auto"/>
        <w:ind w:firstLine="420" w:firstLineChars="200"/>
        <w:rPr>
          <w:szCs w:val="21"/>
        </w:rPr>
      </w:pPr>
      <w:r>
        <w:rPr>
          <w:szCs w:val="21"/>
        </w:rPr>
        <w:t>2.</w:t>
      </w:r>
      <w:r>
        <w:rPr>
          <w:rFonts w:hint="eastAsia"/>
          <w:szCs w:val="21"/>
        </w:rPr>
        <w:t>承包人职责</w:t>
      </w:r>
    </w:p>
    <w:p w14:paraId="3A333CD5">
      <w:pPr>
        <w:tabs>
          <w:tab w:val="left" w:pos="2790"/>
        </w:tabs>
        <w:spacing w:line="360" w:lineRule="auto"/>
        <w:ind w:firstLine="420" w:firstLineChars="200"/>
        <w:rPr>
          <w:szCs w:val="21"/>
        </w:rPr>
      </w:pPr>
      <w:r>
        <w:rPr>
          <w:rFonts w:hint="eastAsia"/>
          <w:szCs w:val="21"/>
        </w:rPr>
        <w:t>（</w:t>
      </w:r>
      <w:r>
        <w:rPr>
          <w:szCs w:val="21"/>
        </w:rPr>
        <w:t>1</w:t>
      </w:r>
      <w:r>
        <w:rPr>
          <w:rFonts w:hint="eastAsia"/>
          <w:szCs w:val="21"/>
        </w:rPr>
        <w:t>）严格遵守《中华人民共和国安全生产法》、《建设工程安全生产管理条例》等国家有关安全生产的法律法规、《公路水运工程安全生产监督管理办法》、《公路工程施工安全技术规范》、《公路筑养路机械操作规程》和</w:t>
      </w:r>
      <w:r>
        <w:rPr>
          <w:rFonts w:hint="eastAsia"/>
        </w:rPr>
        <w:t>《浙江省交通建设工程质量和安全生产管理条例》</w:t>
      </w:r>
      <w:r>
        <w:rPr>
          <w:rFonts w:hint="eastAsia"/>
          <w:szCs w:val="21"/>
        </w:rPr>
        <w:t>等有关安全生产的规定。认真执行工程承包合同中的有关安全要求。</w:t>
      </w:r>
    </w:p>
    <w:p w14:paraId="58EC8F74">
      <w:pPr>
        <w:tabs>
          <w:tab w:val="left" w:pos="2790"/>
        </w:tabs>
        <w:spacing w:line="360" w:lineRule="auto"/>
        <w:ind w:firstLine="420" w:firstLineChars="200"/>
        <w:rPr>
          <w:szCs w:val="21"/>
        </w:rPr>
      </w:pPr>
      <w:r>
        <w:rPr>
          <w:rFonts w:hint="eastAsia"/>
          <w:szCs w:val="21"/>
        </w:rPr>
        <w:t>（</w:t>
      </w:r>
      <w:r>
        <w:rPr>
          <w:szCs w:val="21"/>
        </w:rPr>
        <w:t>2</w:t>
      </w:r>
      <w:r>
        <w:rPr>
          <w:rFonts w:hint="eastAsia"/>
          <w:szCs w:val="21"/>
        </w:rPr>
        <w:t>）坚持</w:t>
      </w:r>
      <w:r>
        <w:rPr>
          <w:szCs w:val="21"/>
        </w:rPr>
        <w:t>“</w:t>
      </w:r>
      <w:r>
        <w:rPr>
          <w:rFonts w:hint="eastAsia"/>
          <w:szCs w:val="21"/>
        </w:rPr>
        <w:t>安全第一、预防为主、综合治理</w:t>
      </w:r>
      <w:r>
        <w:rPr>
          <w:szCs w:val="21"/>
        </w:rPr>
        <w:t>”</w:t>
      </w:r>
      <w:r>
        <w:rPr>
          <w:rFonts w:hint="eastAsia"/>
          <w:szCs w:val="21"/>
        </w:rPr>
        <w:t>和</w:t>
      </w:r>
      <w:r>
        <w:rPr>
          <w:szCs w:val="21"/>
        </w:rPr>
        <w:t>“</w:t>
      </w:r>
      <w:r>
        <w:rPr>
          <w:rFonts w:hint="eastAsia"/>
          <w:szCs w:val="21"/>
        </w:rPr>
        <w:t>管生产必须管安全</w:t>
      </w:r>
      <w:r>
        <w:rPr>
          <w:szCs w:val="21"/>
        </w:rPr>
        <w:t>”</w:t>
      </w:r>
      <w:r>
        <w:rPr>
          <w:rFonts w:hint="eastAsia"/>
          <w:szCs w:val="21"/>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F7E68EC">
      <w:pPr>
        <w:tabs>
          <w:tab w:val="left" w:pos="2790"/>
        </w:tabs>
        <w:spacing w:line="360" w:lineRule="auto"/>
        <w:ind w:firstLine="420" w:firstLineChars="200"/>
        <w:rPr>
          <w:szCs w:val="21"/>
        </w:rPr>
      </w:pPr>
      <w:r>
        <w:rPr>
          <w:rFonts w:hint="eastAsia"/>
          <w:szCs w:val="21"/>
        </w:rPr>
        <w:t>（</w:t>
      </w:r>
      <w:r>
        <w:rPr>
          <w:szCs w:val="21"/>
        </w:rPr>
        <w:t>3</w:t>
      </w:r>
      <w:r>
        <w:rPr>
          <w:rFonts w:hint="eastAsia"/>
          <w:szCs w:val="21"/>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浙江省交通建设工程质量和安全生产监督工作实施办法》、《浙江省交通运输厅关于进一步加强全省交通建设工程安全生产管理工作的若干规定》、《省交通运输厅安委办关于印发</w:t>
      </w:r>
      <w:r>
        <w:rPr>
          <w:szCs w:val="21"/>
        </w:rPr>
        <w:t>&lt;</w:t>
      </w:r>
      <w:r>
        <w:rPr>
          <w:rFonts w:hint="eastAsia"/>
          <w:szCs w:val="21"/>
        </w:rPr>
        <w:t>浙江省交通建设工程施工安全十条规定</w:t>
      </w:r>
      <w:r>
        <w:rPr>
          <w:szCs w:val="21"/>
        </w:rPr>
        <w:t>&gt;</w:t>
      </w:r>
      <w:r>
        <w:rPr>
          <w:rFonts w:hint="eastAsia"/>
          <w:szCs w:val="21"/>
        </w:rPr>
        <w:t>的通知》规定的最低数量和资质条件配备专职安全生产管理人员，专职负责所有员工的安全和治安保卫工作及预防事故的发生。安全机构人员有权按有关规定发布指令，并采取保护性措施防止事故发生。</w:t>
      </w:r>
    </w:p>
    <w:p w14:paraId="21BA9126">
      <w:pPr>
        <w:tabs>
          <w:tab w:val="left" w:pos="2790"/>
        </w:tabs>
        <w:spacing w:line="360" w:lineRule="auto"/>
        <w:ind w:firstLine="420" w:firstLineChars="200"/>
        <w:rPr>
          <w:szCs w:val="21"/>
        </w:rPr>
      </w:pPr>
      <w:r>
        <w:rPr>
          <w:rFonts w:hint="eastAsia"/>
          <w:szCs w:val="21"/>
        </w:rPr>
        <w:t>（</w:t>
      </w:r>
      <w:r>
        <w:rPr>
          <w:szCs w:val="21"/>
        </w:rPr>
        <w:t>4</w:t>
      </w:r>
      <w:r>
        <w:rPr>
          <w:rFonts w:hint="eastAsia"/>
          <w:szCs w:val="21"/>
        </w:rPr>
        <w:t>）承包人在任何时候都应采取各种合理的预防措施，防止其员工发生任何违法、违禁、暴力或妨碍治安的行为。</w:t>
      </w:r>
    </w:p>
    <w:p w14:paraId="5D9820E5">
      <w:pPr>
        <w:tabs>
          <w:tab w:val="left" w:pos="2790"/>
        </w:tabs>
        <w:spacing w:line="360" w:lineRule="auto"/>
        <w:ind w:firstLine="420" w:firstLineChars="200"/>
        <w:rPr>
          <w:szCs w:val="21"/>
        </w:rPr>
      </w:pPr>
      <w:r>
        <w:rPr>
          <w:rFonts w:hint="eastAsia"/>
          <w:szCs w:val="21"/>
        </w:rPr>
        <w:t>（</w:t>
      </w:r>
      <w:r>
        <w:rPr>
          <w:szCs w:val="21"/>
        </w:rPr>
        <w:t>5</w:t>
      </w:r>
      <w:r>
        <w:rPr>
          <w:rFonts w:hint="eastAsia"/>
          <w:szCs w:val="21"/>
        </w:rPr>
        <w:t>）</w:t>
      </w:r>
      <w:r>
        <w:rPr>
          <w:szCs w:val="21"/>
        </w:rPr>
        <w:t xml:space="preserve"> </w:t>
      </w:r>
      <w:r>
        <w:rPr>
          <w:rFonts w:hint="eastAsia"/>
          <w:szCs w:val="21"/>
        </w:rPr>
        <w:t>承包人必须按国家有关规定取得安全生产许可证。施工作业人员必须按规定接受安全教育培训，未经安全生产教育和培训合格的施工作业人员，不得上岗作业。电工、焊工、架子工等特种作业人员，以及特种设备作业人员必须按照国家有关规定经专门的安全作业培训，取得相应资格，方可上岗作业。</w:t>
      </w:r>
    </w:p>
    <w:p w14:paraId="71046116">
      <w:pPr>
        <w:tabs>
          <w:tab w:val="left" w:pos="2790"/>
        </w:tabs>
        <w:spacing w:line="360" w:lineRule="auto"/>
        <w:ind w:firstLine="420" w:firstLineChars="200"/>
        <w:rPr>
          <w:szCs w:val="21"/>
        </w:rPr>
      </w:pPr>
      <w:r>
        <w:rPr>
          <w:rFonts w:hint="eastAsia"/>
          <w:szCs w:val="21"/>
        </w:rPr>
        <w:t>（</w:t>
      </w:r>
      <w:r>
        <w:rPr>
          <w:szCs w:val="21"/>
        </w:rPr>
        <w:t>6</w:t>
      </w:r>
      <w:r>
        <w:rPr>
          <w:rFonts w:hint="eastAsia"/>
          <w:szCs w:val="21"/>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E46D09E">
      <w:pPr>
        <w:tabs>
          <w:tab w:val="left" w:pos="2790"/>
        </w:tabs>
        <w:spacing w:line="360" w:lineRule="auto"/>
        <w:ind w:firstLine="420" w:firstLineChars="200"/>
        <w:rPr>
          <w:szCs w:val="21"/>
        </w:rPr>
      </w:pPr>
      <w:r>
        <w:rPr>
          <w:rFonts w:hint="eastAsia"/>
          <w:szCs w:val="21"/>
        </w:rPr>
        <w:t>（</w:t>
      </w:r>
      <w:r>
        <w:rPr>
          <w:szCs w:val="21"/>
        </w:rPr>
        <w:t>7</w:t>
      </w:r>
      <w:r>
        <w:rPr>
          <w:rFonts w:hint="eastAsia"/>
          <w:szCs w:val="21"/>
        </w:rPr>
        <w:t>）操作人员上岗，必须按规定穿戴防护用品。施工负责人和安全检查员应随时检查劳动防护用品的穿戴情况，不按规定穿戴防护用品的人员不得上岗。</w:t>
      </w:r>
    </w:p>
    <w:p w14:paraId="3F67E6C9">
      <w:pPr>
        <w:tabs>
          <w:tab w:val="left" w:pos="2790"/>
        </w:tabs>
        <w:spacing w:line="360" w:lineRule="auto"/>
        <w:ind w:firstLine="420" w:firstLineChars="200"/>
        <w:rPr>
          <w:szCs w:val="21"/>
        </w:rPr>
      </w:pPr>
      <w:r>
        <w:rPr>
          <w:rFonts w:hint="eastAsia"/>
          <w:szCs w:val="21"/>
        </w:rPr>
        <w:t>（</w:t>
      </w:r>
      <w:r>
        <w:rPr>
          <w:szCs w:val="21"/>
        </w:rPr>
        <w:t>8</w:t>
      </w:r>
      <w:r>
        <w:rPr>
          <w:rFonts w:hint="eastAsia"/>
          <w:szCs w:val="21"/>
        </w:rPr>
        <w:t>）所有施工机具设备和高空作业的设备均应定期检查，并有安全员的签字记录，保证其经常处于完好状态；不合格的机具、设备和劳动保护用品严禁使用。</w:t>
      </w:r>
    </w:p>
    <w:p w14:paraId="6AEF1908">
      <w:pPr>
        <w:tabs>
          <w:tab w:val="left" w:pos="2790"/>
        </w:tabs>
        <w:spacing w:line="360" w:lineRule="auto"/>
        <w:ind w:firstLine="420" w:firstLineChars="200"/>
        <w:rPr>
          <w:szCs w:val="21"/>
        </w:rPr>
      </w:pPr>
      <w:r>
        <w:rPr>
          <w:rFonts w:hint="eastAsia"/>
          <w:szCs w:val="21"/>
        </w:rPr>
        <w:t>（</w:t>
      </w:r>
      <w:r>
        <w:rPr>
          <w:szCs w:val="21"/>
        </w:rPr>
        <w:t>9</w:t>
      </w:r>
      <w:r>
        <w:rPr>
          <w:rFonts w:hint="eastAsia"/>
          <w:szCs w:val="21"/>
        </w:rPr>
        <w:t>）施工中采用新技术、新工艺、新设备、新材料时，必须制定相应的安全技术措施，施工现场必须具有相关的安全标志牌。</w:t>
      </w:r>
    </w:p>
    <w:p w14:paraId="3148F1B3">
      <w:pPr>
        <w:tabs>
          <w:tab w:val="left" w:pos="2790"/>
        </w:tabs>
        <w:spacing w:line="360" w:lineRule="auto"/>
        <w:ind w:firstLine="420" w:firstLineChars="200"/>
        <w:rPr>
          <w:szCs w:val="21"/>
        </w:rPr>
      </w:pPr>
      <w:r>
        <w:rPr>
          <w:rFonts w:hint="eastAsia"/>
          <w:szCs w:val="21"/>
        </w:rPr>
        <w:t>（</w:t>
      </w:r>
      <w:r>
        <w:rPr>
          <w:szCs w:val="21"/>
        </w:rPr>
        <w:t>10</w:t>
      </w:r>
      <w:r>
        <w:rPr>
          <w:rFonts w:hint="eastAsia"/>
          <w:szCs w:val="21"/>
        </w:rPr>
        <w:t>）承包人必须按照本工程项目特点，组织制定本工程实施中的生产安全事故应急救援预案；如果发生安全事故，应按照《生产安全事故报告和调查处理条例》、《浙江省生产安全事故报告和调查处理规定》以及其他有关规定，及时上报有关部门，并坚持</w:t>
      </w:r>
      <w:r>
        <w:rPr>
          <w:szCs w:val="21"/>
        </w:rPr>
        <w:t>“</w:t>
      </w:r>
      <w:r>
        <w:rPr>
          <w:rFonts w:hint="eastAsia"/>
          <w:szCs w:val="21"/>
        </w:rPr>
        <w:t>四不放过</w:t>
      </w:r>
      <w:r>
        <w:rPr>
          <w:szCs w:val="21"/>
        </w:rPr>
        <w:t>”</w:t>
      </w:r>
      <w:r>
        <w:rPr>
          <w:rFonts w:hint="eastAsia"/>
          <w:szCs w:val="21"/>
        </w:rPr>
        <w:t>的原则，严肃处理相关责任人。</w:t>
      </w:r>
    </w:p>
    <w:p w14:paraId="3D691047">
      <w:pPr>
        <w:tabs>
          <w:tab w:val="left" w:pos="2790"/>
        </w:tabs>
        <w:spacing w:line="360" w:lineRule="auto"/>
        <w:ind w:firstLine="420" w:firstLineChars="200"/>
        <w:rPr>
          <w:szCs w:val="21"/>
        </w:rPr>
      </w:pPr>
      <w:r>
        <w:rPr>
          <w:rFonts w:hint="eastAsia"/>
          <w:szCs w:val="21"/>
        </w:rPr>
        <w:t>（</w:t>
      </w:r>
      <w:r>
        <w:rPr>
          <w:szCs w:val="21"/>
        </w:rPr>
        <w:t>11</w:t>
      </w:r>
      <w:r>
        <w:rPr>
          <w:rFonts w:hint="eastAsia"/>
          <w:szCs w:val="21"/>
        </w:rPr>
        <w:t>）安全生产费用按照</w:t>
      </w:r>
      <w:r>
        <w:rPr>
          <w:rFonts w:hint="eastAsia"/>
        </w:rPr>
        <w:t>《浙江省交通建设工程安全生产费用管理办法》的相关要求以及相关最新规定</w:t>
      </w:r>
      <w:r>
        <w:rPr>
          <w:rFonts w:hint="eastAsia"/>
          <w:szCs w:val="21"/>
        </w:rPr>
        <w:t>使用和管理。</w:t>
      </w:r>
    </w:p>
    <w:p w14:paraId="2211562C">
      <w:pPr>
        <w:tabs>
          <w:tab w:val="left" w:pos="2790"/>
        </w:tabs>
        <w:spacing w:line="360" w:lineRule="auto"/>
        <w:ind w:firstLine="315" w:firstLineChars="150"/>
        <w:rPr>
          <w:szCs w:val="21"/>
        </w:rPr>
      </w:pPr>
      <w:r>
        <w:rPr>
          <w:rFonts w:hint="eastAsia"/>
          <w:szCs w:val="21"/>
        </w:rPr>
        <w:t>（</w:t>
      </w:r>
      <w:r>
        <w:rPr>
          <w:szCs w:val="21"/>
        </w:rPr>
        <w:t>12</w:t>
      </w:r>
      <w:r>
        <w:rPr>
          <w:rFonts w:hint="eastAsia"/>
          <w:szCs w:val="21"/>
        </w:rPr>
        <w:t>）承包人在施工期间应当服从发包人及交通等行业主管部门的监督、检查、指令，并积极做好相关配合工作。</w:t>
      </w:r>
    </w:p>
    <w:p w14:paraId="3C3CA48F">
      <w:pPr>
        <w:tabs>
          <w:tab w:val="left" w:pos="2790"/>
        </w:tabs>
        <w:spacing w:line="360" w:lineRule="auto"/>
        <w:ind w:firstLine="420" w:firstLineChars="200"/>
        <w:rPr>
          <w:szCs w:val="21"/>
        </w:rPr>
      </w:pPr>
      <w:r>
        <w:rPr>
          <w:szCs w:val="21"/>
        </w:rPr>
        <w:t>3.</w:t>
      </w:r>
      <w:r>
        <w:rPr>
          <w:rFonts w:hint="eastAsia"/>
          <w:szCs w:val="21"/>
        </w:rPr>
        <w:t>违约责任</w:t>
      </w:r>
    </w:p>
    <w:p w14:paraId="5D227F68">
      <w:pPr>
        <w:tabs>
          <w:tab w:val="left" w:pos="2790"/>
        </w:tabs>
        <w:spacing w:line="360" w:lineRule="auto"/>
        <w:ind w:firstLine="420" w:firstLineChars="200"/>
        <w:rPr>
          <w:szCs w:val="21"/>
        </w:rPr>
      </w:pPr>
      <w:r>
        <w:rPr>
          <w:rFonts w:hint="eastAsia"/>
          <w:szCs w:val="21"/>
        </w:rPr>
        <w:t>如因发包人或承包人违约造成安全事故，将依法追究责任。</w:t>
      </w:r>
    </w:p>
    <w:p w14:paraId="00DBDF12">
      <w:pPr>
        <w:tabs>
          <w:tab w:val="left" w:pos="2790"/>
        </w:tabs>
        <w:spacing w:line="360" w:lineRule="auto"/>
        <w:ind w:firstLine="420" w:firstLineChars="200"/>
        <w:rPr>
          <w:szCs w:val="21"/>
        </w:rPr>
      </w:pPr>
      <w:r>
        <w:rPr>
          <w:szCs w:val="21"/>
        </w:rPr>
        <w:t>4.</w:t>
      </w:r>
      <w:r>
        <w:rPr>
          <w:rFonts w:hint="eastAsia"/>
          <w:szCs w:val="21"/>
        </w:rPr>
        <w:t>本合同由双方法定代表人或其授权的代理人签署并加盖单位章后生效，全部工程竣工验收后失效。</w:t>
      </w:r>
    </w:p>
    <w:p w14:paraId="3EE8FFA3">
      <w:pPr>
        <w:tabs>
          <w:tab w:val="left" w:pos="2790"/>
        </w:tabs>
        <w:spacing w:line="360" w:lineRule="auto"/>
        <w:ind w:firstLine="420" w:firstLineChars="200"/>
        <w:rPr>
          <w:szCs w:val="21"/>
        </w:rPr>
      </w:pPr>
      <w:r>
        <w:rPr>
          <w:szCs w:val="21"/>
        </w:rPr>
        <w:t>5.</w:t>
      </w:r>
      <w:r>
        <w:rPr>
          <w:rFonts w:hint="eastAsia"/>
          <w:szCs w:val="21"/>
        </w:rPr>
        <w:t>本合同正本二份、副本</w:t>
      </w:r>
      <w:r>
        <w:rPr>
          <w:szCs w:val="21"/>
          <w:u w:val="single"/>
        </w:rPr>
        <w:t xml:space="preserve">     </w:t>
      </w:r>
      <w:r>
        <w:rPr>
          <w:rFonts w:hint="eastAsia"/>
          <w:szCs w:val="21"/>
        </w:rPr>
        <w:t>份，合同双方各执正本一份，副本</w:t>
      </w:r>
      <w:r>
        <w:rPr>
          <w:szCs w:val="21"/>
          <w:u w:val="single"/>
        </w:rPr>
        <w:t xml:space="preserve">     </w:t>
      </w:r>
      <w:r>
        <w:rPr>
          <w:rFonts w:hint="eastAsia"/>
          <w:szCs w:val="21"/>
        </w:rPr>
        <w:t>份，当正本与副本的内容不一致时，以正本为准。</w:t>
      </w:r>
    </w:p>
    <w:p w14:paraId="1DEE4599">
      <w:pPr>
        <w:tabs>
          <w:tab w:val="left" w:pos="2790"/>
        </w:tabs>
        <w:spacing w:line="360" w:lineRule="auto"/>
        <w:ind w:firstLine="420" w:firstLineChars="200"/>
        <w:rPr>
          <w:szCs w:val="21"/>
        </w:rPr>
      </w:pPr>
      <w:r>
        <w:rPr>
          <w:szCs w:val="21"/>
        </w:rPr>
        <w:t xml:space="preserve"> </w:t>
      </w:r>
    </w:p>
    <w:p w14:paraId="190F110F">
      <w:pPr>
        <w:tabs>
          <w:tab w:val="left" w:pos="2790"/>
        </w:tabs>
        <w:spacing w:line="360" w:lineRule="auto"/>
        <w:rPr>
          <w:szCs w:val="21"/>
        </w:rPr>
      </w:pPr>
      <w:r>
        <w:rPr>
          <w:rFonts w:hint="eastAsia"/>
          <w:szCs w:val="21"/>
        </w:rPr>
        <w:t>发包人：</w:t>
      </w:r>
      <w:r>
        <w:rPr>
          <w:szCs w:val="21"/>
          <w:u w:val="single"/>
        </w:rPr>
        <w:t xml:space="preserve">                  </w:t>
      </w:r>
      <w:r>
        <w:rPr>
          <w:szCs w:val="21"/>
        </w:rPr>
        <w:t xml:space="preserve"> </w:t>
      </w:r>
      <w:r>
        <w:rPr>
          <w:rFonts w:hint="eastAsia"/>
          <w:szCs w:val="21"/>
        </w:rPr>
        <w:t>（盖单位章）</w:t>
      </w:r>
      <w:r>
        <w:rPr>
          <w:szCs w:val="21"/>
        </w:rPr>
        <w:t xml:space="preserve">     </w:t>
      </w:r>
      <w:r>
        <w:rPr>
          <w:rFonts w:hint="eastAsia"/>
          <w:szCs w:val="21"/>
        </w:rPr>
        <w:t>承包人：</w:t>
      </w:r>
      <w:r>
        <w:rPr>
          <w:szCs w:val="21"/>
          <w:u w:val="single"/>
        </w:rPr>
        <w:t xml:space="preserve">                  </w:t>
      </w:r>
      <w:r>
        <w:rPr>
          <w:szCs w:val="21"/>
        </w:rPr>
        <w:t xml:space="preserve"> </w:t>
      </w:r>
      <w:r>
        <w:rPr>
          <w:rFonts w:hint="eastAsia"/>
          <w:szCs w:val="21"/>
        </w:rPr>
        <w:t>（盖单位章）</w:t>
      </w:r>
    </w:p>
    <w:p w14:paraId="1808EFD9">
      <w:pPr>
        <w:tabs>
          <w:tab w:val="left" w:pos="2790"/>
        </w:tabs>
        <w:spacing w:line="360" w:lineRule="auto"/>
        <w:rPr>
          <w:szCs w:val="21"/>
        </w:rPr>
      </w:pPr>
      <w:r>
        <w:rPr>
          <w:rFonts w:hint="eastAsia"/>
          <w:szCs w:val="21"/>
        </w:rPr>
        <w:t>法定代表人或其委托代理人：</w:t>
      </w:r>
      <w:r>
        <w:rPr>
          <w:szCs w:val="21"/>
          <w:u w:val="single"/>
        </w:rPr>
        <w:t xml:space="preserve">     </w:t>
      </w:r>
      <w:r>
        <w:rPr>
          <w:rFonts w:hint="eastAsia"/>
          <w:szCs w:val="21"/>
        </w:rPr>
        <w:t>（签字）</w:t>
      </w:r>
      <w:r>
        <w:rPr>
          <w:szCs w:val="21"/>
        </w:rPr>
        <w:t xml:space="preserve">     </w:t>
      </w:r>
      <w:r>
        <w:rPr>
          <w:rFonts w:hint="eastAsia"/>
          <w:szCs w:val="21"/>
        </w:rPr>
        <w:t>法定代表人或其委托代理人：</w:t>
      </w:r>
      <w:r>
        <w:rPr>
          <w:szCs w:val="21"/>
          <w:u w:val="single"/>
        </w:rPr>
        <w:t xml:space="preserve">     </w:t>
      </w:r>
      <w:r>
        <w:rPr>
          <w:rFonts w:hint="eastAsia"/>
          <w:szCs w:val="21"/>
        </w:rPr>
        <w:t>（签字）</w:t>
      </w:r>
    </w:p>
    <w:p w14:paraId="7FDECDBD">
      <w:pPr>
        <w:tabs>
          <w:tab w:val="left" w:pos="2790"/>
        </w:tabs>
        <w:spacing w:line="360" w:lineRule="auto"/>
        <w:ind w:firstLine="1890" w:firstLineChars="9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0F7C702C">
      <w:pPr>
        <w:tabs>
          <w:tab w:val="left" w:pos="2790"/>
        </w:tabs>
        <w:spacing w:line="360" w:lineRule="auto"/>
        <w:outlineLvl w:val="2"/>
        <w:rPr>
          <w:sz w:val="28"/>
          <w:szCs w:val="28"/>
        </w:rPr>
      </w:pPr>
      <w:r>
        <w:rPr>
          <w:sz w:val="24"/>
        </w:rPr>
        <w:br w:type="page"/>
      </w:r>
      <w:bookmarkStart w:id="355" w:name="_Toc154675141"/>
      <w:bookmarkStart w:id="356" w:name="_Toc24473"/>
      <w:r>
        <w:rPr>
          <w:rFonts w:hint="eastAsia"/>
          <w:sz w:val="28"/>
          <w:szCs w:val="28"/>
        </w:rPr>
        <w:t>附件四</w:t>
      </w:r>
      <w:r>
        <w:rPr>
          <w:sz w:val="28"/>
          <w:szCs w:val="28"/>
        </w:rPr>
        <w:t xml:space="preserve">  </w:t>
      </w:r>
      <w:r>
        <w:rPr>
          <w:rFonts w:hint="eastAsia"/>
          <w:sz w:val="28"/>
          <w:szCs w:val="28"/>
        </w:rPr>
        <w:t>其他管理和技术人员最低要求</w:t>
      </w:r>
      <w:r>
        <w:rPr>
          <w:rStyle w:val="80"/>
          <w:sz w:val="28"/>
          <w:szCs w:val="28"/>
          <w:vertAlign w:val="superscript"/>
        </w:rPr>
        <w:footnoteReference w:id="28"/>
      </w:r>
      <w:bookmarkEnd w:id="355"/>
      <w:bookmarkEnd w:id="356"/>
    </w:p>
    <w:p w14:paraId="1A8F6E5B">
      <w:pPr>
        <w:tabs>
          <w:tab w:val="left" w:pos="2790"/>
        </w:tabs>
        <w:spacing w:line="360" w:lineRule="auto"/>
        <w:rPr>
          <w:rFonts w:eastAsia="黑体"/>
          <w:sz w:val="28"/>
          <w:szCs w:val="28"/>
        </w:rPr>
      </w:pP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1974"/>
        <w:gridCol w:w="2151"/>
        <w:gridCol w:w="4769"/>
      </w:tblGrid>
      <w:tr w14:paraId="089FD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656B93B4">
            <w:pPr>
              <w:tabs>
                <w:tab w:val="left" w:pos="2790"/>
              </w:tabs>
              <w:spacing w:line="360" w:lineRule="auto"/>
              <w:jc w:val="center"/>
              <w:rPr>
                <w:szCs w:val="21"/>
              </w:rPr>
            </w:pPr>
            <w:r>
              <w:rPr>
                <w:rFonts w:hint="eastAsia"/>
                <w:szCs w:val="21"/>
              </w:rPr>
              <w:t>人员</w:t>
            </w:r>
          </w:p>
        </w:tc>
        <w:tc>
          <w:tcPr>
            <w:tcW w:w="2151" w:type="dxa"/>
            <w:vAlign w:val="center"/>
          </w:tcPr>
          <w:p w14:paraId="56150B71">
            <w:pPr>
              <w:tabs>
                <w:tab w:val="left" w:pos="2790"/>
              </w:tabs>
              <w:spacing w:line="360" w:lineRule="auto"/>
              <w:jc w:val="center"/>
              <w:rPr>
                <w:szCs w:val="21"/>
              </w:rPr>
            </w:pPr>
            <w:r>
              <w:rPr>
                <w:rFonts w:hint="eastAsia"/>
                <w:szCs w:val="21"/>
              </w:rPr>
              <w:t>数量</w:t>
            </w:r>
          </w:p>
        </w:tc>
        <w:tc>
          <w:tcPr>
            <w:tcW w:w="4769" w:type="dxa"/>
            <w:vAlign w:val="center"/>
          </w:tcPr>
          <w:p w14:paraId="36B72CDD">
            <w:pPr>
              <w:tabs>
                <w:tab w:val="left" w:pos="2790"/>
              </w:tabs>
              <w:spacing w:line="360" w:lineRule="auto"/>
              <w:jc w:val="center"/>
              <w:rPr>
                <w:szCs w:val="21"/>
              </w:rPr>
            </w:pPr>
            <w:r>
              <w:rPr>
                <w:rFonts w:hint="eastAsia"/>
                <w:szCs w:val="21"/>
              </w:rPr>
              <w:t>资格要求</w:t>
            </w:r>
          </w:p>
        </w:tc>
      </w:tr>
      <w:tr w14:paraId="2841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4075981F">
            <w:pPr>
              <w:tabs>
                <w:tab w:val="left" w:pos="2790"/>
              </w:tabs>
              <w:spacing w:line="360" w:lineRule="auto"/>
              <w:jc w:val="center"/>
              <w:rPr>
                <w:szCs w:val="21"/>
              </w:rPr>
            </w:pPr>
          </w:p>
        </w:tc>
        <w:tc>
          <w:tcPr>
            <w:tcW w:w="2151" w:type="dxa"/>
            <w:vAlign w:val="center"/>
          </w:tcPr>
          <w:p w14:paraId="3F637C63">
            <w:pPr>
              <w:tabs>
                <w:tab w:val="left" w:pos="2790"/>
              </w:tabs>
              <w:spacing w:line="360" w:lineRule="auto"/>
              <w:jc w:val="center"/>
              <w:rPr>
                <w:szCs w:val="21"/>
              </w:rPr>
            </w:pPr>
          </w:p>
        </w:tc>
        <w:tc>
          <w:tcPr>
            <w:tcW w:w="4769" w:type="dxa"/>
            <w:vAlign w:val="center"/>
          </w:tcPr>
          <w:p w14:paraId="63AECB00">
            <w:pPr>
              <w:tabs>
                <w:tab w:val="left" w:pos="2790"/>
              </w:tabs>
              <w:spacing w:line="360" w:lineRule="auto"/>
              <w:ind w:firstLine="210" w:firstLineChars="100"/>
              <w:rPr>
                <w:szCs w:val="21"/>
              </w:rPr>
            </w:pPr>
          </w:p>
        </w:tc>
      </w:tr>
      <w:tr w14:paraId="362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3A92F860">
            <w:pPr>
              <w:tabs>
                <w:tab w:val="left" w:pos="2790"/>
              </w:tabs>
              <w:spacing w:line="360" w:lineRule="auto"/>
              <w:jc w:val="center"/>
              <w:rPr>
                <w:szCs w:val="21"/>
              </w:rPr>
            </w:pPr>
          </w:p>
        </w:tc>
        <w:tc>
          <w:tcPr>
            <w:tcW w:w="2151" w:type="dxa"/>
            <w:vAlign w:val="center"/>
          </w:tcPr>
          <w:p w14:paraId="287304A0">
            <w:pPr>
              <w:tabs>
                <w:tab w:val="left" w:pos="2790"/>
              </w:tabs>
              <w:spacing w:line="360" w:lineRule="auto"/>
              <w:jc w:val="center"/>
              <w:rPr>
                <w:szCs w:val="21"/>
              </w:rPr>
            </w:pPr>
          </w:p>
        </w:tc>
        <w:tc>
          <w:tcPr>
            <w:tcW w:w="4769" w:type="dxa"/>
            <w:vAlign w:val="center"/>
          </w:tcPr>
          <w:p w14:paraId="5CB088C1">
            <w:pPr>
              <w:tabs>
                <w:tab w:val="left" w:pos="2790"/>
              </w:tabs>
              <w:spacing w:line="360" w:lineRule="auto"/>
              <w:ind w:firstLine="210" w:firstLineChars="100"/>
              <w:rPr>
                <w:szCs w:val="21"/>
              </w:rPr>
            </w:pPr>
          </w:p>
        </w:tc>
      </w:tr>
      <w:tr w14:paraId="5C12E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537F8CF6">
            <w:pPr>
              <w:tabs>
                <w:tab w:val="left" w:pos="2790"/>
              </w:tabs>
              <w:spacing w:line="360" w:lineRule="auto"/>
              <w:jc w:val="center"/>
              <w:rPr>
                <w:szCs w:val="21"/>
              </w:rPr>
            </w:pPr>
          </w:p>
        </w:tc>
        <w:tc>
          <w:tcPr>
            <w:tcW w:w="2151" w:type="dxa"/>
            <w:vAlign w:val="center"/>
          </w:tcPr>
          <w:p w14:paraId="2AE3DE79">
            <w:pPr>
              <w:tabs>
                <w:tab w:val="left" w:pos="2790"/>
              </w:tabs>
              <w:spacing w:line="360" w:lineRule="auto"/>
              <w:jc w:val="center"/>
              <w:rPr>
                <w:szCs w:val="21"/>
              </w:rPr>
            </w:pPr>
          </w:p>
        </w:tc>
        <w:tc>
          <w:tcPr>
            <w:tcW w:w="4769" w:type="dxa"/>
            <w:vAlign w:val="center"/>
          </w:tcPr>
          <w:p w14:paraId="1E38BB70">
            <w:pPr>
              <w:tabs>
                <w:tab w:val="left" w:pos="2790"/>
              </w:tabs>
              <w:spacing w:line="360" w:lineRule="auto"/>
              <w:ind w:firstLine="210" w:firstLineChars="100"/>
              <w:rPr>
                <w:szCs w:val="21"/>
              </w:rPr>
            </w:pPr>
          </w:p>
        </w:tc>
      </w:tr>
      <w:tr w14:paraId="1FDE1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46D5372F">
            <w:pPr>
              <w:tabs>
                <w:tab w:val="left" w:pos="2790"/>
              </w:tabs>
              <w:spacing w:line="360" w:lineRule="auto"/>
              <w:jc w:val="center"/>
              <w:rPr>
                <w:szCs w:val="21"/>
              </w:rPr>
            </w:pPr>
          </w:p>
        </w:tc>
        <w:tc>
          <w:tcPr>
            <w:tcW w:w="2151" w:type="dxa"/>
            <w:vAlign w:val="center"/>
          </w:tcPr>
          <w:p w14:paraId="41A26089">
            <w:pPr>
              <w:tabs>
                <w:tab w:val="left" w:pos="2790"/>
              </w:tabs>
              <w:spacing w:line="360" w:lineRule="auto"/>
              <w:jc w:val="center"/>
              <w:rPr>
                <w:szCs w:val="21"/>
              </w:rPr>
            </w:pPr>
          </w:p>
        </w:tc>
        <w:tc>
          <w:tcPr>
            <w:tcW w:w="4769" w:type="dxa"/>
            <w:vAlign w:val="center"/>
          </w:tcPr>
          <w:p w14:paraId="2A01173A">
            <w:pPr>
              <w:tabs>
                <w:tab w:val="left" w:pos="2790"/>
              </w:tabs>
              <w:spacing w:line="360" w:lineRule="auto"/>
              <w:ind w:firstLine="210" w:firstLineChars="100"/>
              <w:rPr>
                <w:szCs w:val="21"/>
              </w:rPr>
            </w:pPr>
          </w:p>
        </w:tc>
      </w:tr>
      <w:tr w14:paraId="4B2E6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17CED621">
            <w:pPr>
              <w:tabs>
                <w:tab w:val="left" w:pos="2790"/>
              </w:tabs>
              <w:spacing w:line="360" w:lineRule="auto"/>
              <w:jc w:val="center"/>
              <w:rPr>
                <w:szCs w:val="21"/>
              </w:rPr>
            </w:pPr>
          </w:p>
        </w:tc>
        <w:tc>
          <w:tcPr>
            <w:tcW w:w="2151" w:type="dxa"/>
            <w:vAlign w:val="center"/>
          </w:tcPr>
          <w:p w14:paraId="1D1938B1">
            <w:pPr>
              <w:tabs>
                <w:tab w:val="left" w:pos="2790"/>
              </w:tabs>
              <w:spacing w:line="360" w:lineRule="auto"/>
              <w:jc w:val="center"/>
              <w:rPr>
                <w:szCs w:val="21"/>
              </w:rPr>
            </w:pPr>
          </w:p>
        </w:tc>
        <w:tc>
          <w:tcPr>
            <w:tcW w:w="4769" w:type="dxa"/>
            <w:vAlign w:val="center"/>
          </w:tcPr>
          <w:p w14:paraId="5806FAF0">
            <w:pPr>
              <w:tabs>
                <w:tab w:val="left" w:pos="2790"/>
              </w:tabs>
              <w:spacing w:line="360" w:lineRule="auto"/>
              <w:ind w:firstLine="210" w:firstLineChars="100"/>
              <w:rPr>
                <w:szCs w:val="21"/>
              </w:rPr>
            </w:pPr>
          </w:p>
        </w:tc>
      </w:tr>
      <w:tr w14:paraId="5A3F9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05A9D632">
            <w:pPr>
              <w:tabs>
                <w:tab w:val="left" w:pos="2790"/>
              </w:tabs>
              <w:spacing w:line="360" w:lineRule="auto"/>
              <w:jc w:val="center"/>
              <w:rPr>
                <w:szCs w:val="21"/>
              </w:rPr>
            </w:pPr>
          </w:p>
        </w:tc>
        <w:tc>
          <w:tcPr>
            <w:tcW w:w="2151" w:type="dxa"/>
            <w:vAlign w:val="center"/>
          </w:tcPr>
          <w:p w14:paraId="1C2D6375">
            <w:pPr>
              <w:tabs>
                <w:tab w:val="left" w:pos="2790"/>
              </w:tabs>
              <w:spacing w:line="360" w:lineRule="auto"/>
              <w:jc w:val="center"/>
              <w:rPr>
                <w:szCs w:val="21"/>
              </w:rPr>
            </w:pPr>
          </w:p>
        </w:tc>
        <w:tc>
          <w:tcPr>
            <w:tcW w:w="4769" w:type="dxa"/>
            <w:vAlign w:val="center"/>
          </w:tcPr>
          <w:p w14:paraId="24FB1C56">
            <w:pPr>
              <w:tabs>
                <w:tab w:val="left" w:pos="2790"/>
              </w:tabs>
              <w:spacing w:line="360" w:lineRule="auto"/>
              <w:ind w:firstLine="210" w:firstLineChars="100"/>
              <w:rPr>
                <w:szCs w:val="21"/>
              </w:rPr>
            </w:pPr>
          </w:p>
        </w:tc>
      </w:tr>
      <w:tr w14:paraId="382DF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365F4A84">
            <w:pPr>
              <w:tabs>
                <w:tab w:val="left" w:pos="2790"/>
              </w:tabs>
              <w:spacing w:line="360" w:lineRule="auto"/>
              <w:jc w:val="center"/>
              <w:rPr>
                <w:szCs w:val="21"/>
              </w:rPr>
            </w:pPr>
          </w:p>
        </w:tc>
        <w:tc>
          <w:tcPr>
            <w:tcW w:w="2151" w:type="dxa"/>
            <w:vAlign w:val="center"/>
          </w:tcPr>
          <w:p w14:paraId="56B9CA0A">
            <w:pPr>
              <w:tabs>
                <w:tab w:val="left" w:pos="2790"/>
              </w:tabs>
              <w:spacing w:line="360" w:lineRule="auto"/>
              <w:jc w:val="center"/>
              <w:rPr>
                <w:szCs w:val="21"/>
              </w:rPr>
            </w:pPr>
          </w:p>
        </w:tc>
        <w:tc>
          <w:tcPr>
            <w:tcW w:w="4769" w:type="dxa"/>
            <w:vAlign w:val="center"/>
          </w:tcPr>
          <w:p w14:paraId="29CDBC98">
            <w:pPr>
              <w:tabs>
                <w:tab w:val="left" w:pos="2790"/>
              </w:tabs>
              <w:spacing w:line="360" w:lineRule="auto"/>
              <w:ind w:firstLine="210" w:firstLineChars="100"/>
              <w:rPr>
                <w:szCs w:val="21"/>
              </w:rPr>
            </w:pPr>
          </w:p>
        </w:tc>
      </w:tr>
      <w:tr w14:paraId="39716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0276DF73">
            <w:pPr>
              <w:tabs>
                <w:tab w:val="left" w:pos="2790"/>
              </w:tabs>
              <w:spacing w:line="360" w:lineRule="auto"/>
              <w:jc w:val="center"/>
              <w:rPr>
                <w:szCs w:val="21"/>
              </w:rPr>
            </w:pPr>
          </w:p>
        </w:tc>
        <w:tc>
          <w:tcPr>
            <w:tcW w:w="2151" w:type="dxa"/>
            <w:vAlign w:val="center"/>
          </w:tcPr>
          <w:p w14:paraId="5DCB2A24">
            <w:pPr>
              <w:tabs>
                <w:tab w:val="left" w:pos="2790"/>
              </w:tabs>
              <w:spacing w:line="360" w:lineRule="auto"/>
              <w:jc w:val="center"/>
              <w:rPr>
                <w:szCs w:val="21"/>
              </w:rPr>
            </w:pPr>
          </w:p>
        </w:tc>
        <w:tc>
          <w:tcPr>
            <w:tcW w:w="4769" w:type="dxa"/>
            <w:vAlign w:val="center"/>
          </w:tcPr>
          <w:p w14:paraId="6D780B2F">
            <w:pPr>
              <w:tabs>
                <w:tab w:val="left" w:pos="2790"/>
              </w:tabs>
              <w:spacing w:line="360" w:lineRule="auto"/>
              <w:ind w:firstLine="210" w:firstLineChars="100"/>
              <w:rPr>
                <w:szCs w:val="21"/>
              </w:rPr>
            </w:pPr>
          </w:p>
        </w:tc>
      </w:tr>
      <w:tr w14:paraId="598FE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2553A591">
            <w:pPr>
              <w:tabs>
                <w:tab w:val="left" w:pos="2790"/>
              </w:tabs>
              <w:spacing w:line="360" w:lineRule="auto"/>
              <w:jc w:val="center"/>
              <w:rPr>
                <w:szCs w:val="21"/>
              </w:rPr>
            </w:pPr>
          </w:p>
        </w:tc>
        <w:tc>
          <w:tcPr>
            <w:tcW w:w="2151" w:type="dxa"/>
            <w:vAlign w:val="center"/>
          </w:tcPr>
          <w:p w14:paraId="15F9C6DA">
            <w:pPr>
              <w:tabs>
                <w:tab w:val="left" w:pos="2790"/>
              </w:tabs>
              <w:spacing w:line="360" w:lineRule="auto"/>
              <w:jc w:val="center"/>
              <w:rPr>
                <w:szCs w:val="21"/>
              </w:rPr>
            </w:pPr>
          </w:p>
        </w:tc>
        <w:tc>
          <w:tcPr>
            <w:tcW w:w="4769" w:type="dxa"/>
            <w:vAlign w:val="center"/>
          </w:tcPr>
          <w:p w14:paraId="1EF33B44">
            <w:pPr>
              <w:tabs>
                <w:tab w:val="left" w:pos="2790"/>
              </w:tabs>
              <w:spacing w:line="360" w:lineRule="auto"/>
              <w:ind w:firstLine="210" w:firstLineChars="100"/>
              <w:rPr>
                <w:szCs w:val="21"/>
              </w:rPr>
            </w:pPr>
          </w:p>
        </w:tc>
      </w:tr>
      <w:tr w14:paraId="63D6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5AB98214">
            <w:pPr>
              <w:tabs>
                <w:tab w:val="left" w:pos="2790"/>
              </w:tabs>
              <w:spacing w:line="360" w:lineRule="auto"/>
              <w:jc w:val="center"/>
              <w:rPr>
                <w:szCs w:val="21"/>
              </w:rPr>
            </w:pPr>
          </w:p>
        </w:tc>
        <w:tc>
          <w:tcPr>
            <w:tcW w:w="2151" w:type="dxa"/>
            <w:vAlign w:val="center"/>
          </w:tcPr>
          <w:p w14:paraId="08FB37A1">
            <w:pPr>
              <w:tabs>
                <w:tab w:val="left" w:pos="2790"/>
              </w:tabs>
              <w:spacing w:line="360" w:lineRule="auto"/>
              <w:jc w:val="center"/>
              <w:rPr>
                <w:szCs w:val="21"/>
              </w:rPr>
            </w:pPr>
          </w:p>
        </w:tc>
        <w:tc>
          <w:tcPr>
            <w:tcW w:w="4769" w:type="dxa"/>
            <w:vAlign w:val="center"/>
          </w:tcPr>
          <w:p w14:paraId="66A41F57">
            <w:pPr>
              <w:tabs>
                <w:tab w:val="left" w:pos="2790"/>
              </w:tabs>
              <w:spacing w:line="360" w:lineRule="auto"/>
              <w:ind w:firstLine="210" w:firstLineChars="100"/>
              <w:rPr>
                <w:szCs w:val="21"/>
              </w:rPr>
            </w:pPr>
          </w:p>
        </w:tc>
      </w:tr>
      <w:tr w14:paraId="17C30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139FBEFA">
            <w:pPr>
              <w:tabs>
                <w:tab w:val="left" w:pos="2790"/>
              </w:tabs>
              <w:spacing w:line="360" w:lineRule="auto"/>
              <w:jc w:val="center"/>
              <w:rPr>
                <w:szCs w:val="21"/>
              </w:rPr>
            </w:pPr>
          </w:p>
        </w:tc>
        <w:tc>
          <w:tcPr>
            <w:tcW w:w="2151" w:type="dxa"/>
            <w:vAlign w:val="center"/>
          </w:tcPr>
          <w:p w14:paraId="458C12AB">
            <w:pPr>
              <w:tabs>
                <w:tab w:val="left" w:pos="2790"/>
              </w:tabs>
              <w:spacing w:line="360" w:lineRule="auto"/>
              <w:jc w:val="center"/>
              <w:rPr>
                <w:szCs w:val="21"/>
              </w:rPr>
            </w:pPr>
          </w:p>
        </w:tc>
        <w:tc>
          <w:tcPr>
            <w:tcW w:w="4769" w:type="dxa"/>
            <w:vAlign w:val="center"/>
          </w:tcPr>
          <w:p w14:paraId="450B73BB">
            <w:pPr>
              <w:tabs>
                <w:tab w:val="left" w:pos="2790"/>
              </w:tabs>
              <w:spacing w:line="360" w:lineRule="auto"/>
              <w:ind w:firstLine="210" w:firstLineChars="100"/>
              <w:rPr>
                <w:szCs w:val="21"/>
              </w:rPr>
            </w:pPr>
          </w:p>
        </w:tc>
      </w:tr>
      <w:tr w14:paraId="0479D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64D05FBE">
            <w:pPr>
              <w:tabs>
                <w:tab w:val="left" w:pos="2790"/>
              </w:tabs>
              <w:spacing w:line="360" w:lineRule="auto"/>
              <w:jc w:val="center"/>
              <w:rPr>
                <w:szCs w:val="21"/>
              </w:rPr>
            </w:pPr>
          </w:p>
        </w:tc>
        <w:tc>
          <w:tcPr>
            <w:tcW w:w="2151" w:type="dxa"/>
            <w:vAlign w:val="center"/>
          </w:tcPr>
          <w:p w14:paraId="05590A10">
            <w:pPr>
              <w:tabs>
                <w:tab w:val="left" w:pos="2790"/>
              </w:tabs>
              <w:spacing w:line="360" w:lineRule="auto"/>
              <w:jc w:val="center"/>
              <w:rPr>
                <w:szCs w:val="21"/>
              </w:rPr>
            </w:pPr>
          </w:p>
        </w:tc>
        <w:tc>
          <w:tcPr>
            <w:tcW w:w="4769" w:type="dxa"/>
            <w:vAlign w:val="center"/>
          </w:tcPr>
          <w:p w14:paraId="3DA272D4">
            <w:pPr>
              <w:tabs>
                <w:tab w:val="left" w:pos="2790"/>
              </w:tabs>
              <w:spacing w:line="360" w:lineRule="auto"/>
              <w:ind w:firstLine="210" w:firstLineChars="100"/>
              <w:rPr>
                <w:szCs w:val="21"/>
              </w:rPr>
            </w:pPr>
          </w:p>
        </w:tc>
      </w:tr>
      <w:tr w14:paraId="7BAFA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74" w:type="dxa"/>
            <w:vAlign w:val="center"/>
          </w:tcPr>
          <w:p w14:paraId="44F70CFE">
            <w:pPr>
              <w:tabs>
                <w:tab w:val="left" w:pos="2790"/>
              </w:tabs>
              <w:spacing w:line="360" w:lineRule="auto"/>
              <w:jc w:val="center"/>
              <w:rPr>
                <w:szCs w:val="21"/>
              </w:rPr>
            </w:pPr>
          </w:p>
        </w:tc>
        <w:tc>
          <w:tcPr>
            <w:tcW w:w="2151" w:type="dxa"/>
            <w:vAlign w:val="center"/>
          </w:tcPr>
          <w:p w14:paraId="2F2987DB">
            <w:pPr>
              <w:tabs>
                <w:tab w:val="left" w:pos="2790"/>
              </w:tabs>
              <w:spacing w:line="360" w:lineRule="auto"/>
              <w:jc w:val="center"/>
              <w:rPr>
                <w:szCs w:val="21"/>
              </w:rPr>
            </w:pPr>
          </w:p>
        </w:tc>
        <w:tc>
          <w:tcPr>
            <w:tcW w:w="4769" w:type="dxa"/>
            <w:vAlign w:val="center"/>
          </w:tcPr>
          <w:p w14:paraId="3F0B4814">
            <w:pPr>
              <w:tabs>
                <w:tab w:val="left" w:pos="2790"/>
              </w:tabs>
              <w:spacing w:line="360" w:lineRule="auto"/>
              <w:ind w:firstLine="210" w:firstLineChars="100"/>
              <w:rPr>
                <w:szCs w:val="21"/>
              </w:rPr>
            </w:pPr>
          </w:p>
        </w:tc>
      </w:tr>
    </w:tbl>
    <w:p w14:paraId="4A69A720">
      <w:pPr>
        <w:tabs>
          <w:tab w:val="left" w:pos="2790"/>
        </w:tabs>
        <w:spacing w:line="360" w:lineRule="auto"/>
        <w:rPr>
          <w:szCs w:val="21"/>
        </w:rPr>
      </w:pPr>
    </w:p>
    <w:p w14:paraId="00D325EA">
      <w:pPr>
        <w:tabs>
          <w:tab w:val="left" w:pos="2790"/>
        </w:tabs>
        <w:spacing w:line="360" w:lineRule="auto"/>
        <w:outlineLvl w:val="2"/>
        <w:rPr>
          <w:sz w:val="28"/>
          <w:szCs w:val="28"/>
        </w:rPr>
      </w:pPr>
      <w:r>
        <w:rPr>
          <w:sz w:val="24"/>
        </w:rPr>
        <w:br w:type="page"/>
      </w:r>
      <w:bookmarkStart w:id="357" w:name="_Toc154675142"/>
      <w:bookmarkStart w:id="358" w:name="_Toc11213"/>
      <w:r>
        <w:rPr>
          <w:rFonts w:hint="eastAsia"/>
          <w:sz w:val="28"/>
          <w:szCs w:val="28"/>
        </w:rPr>
        <w:t>附件五</w:t>
      </w:r>
      <w:r>
        <w:rPr>
          <w:sz w:val="28"/>
          <w:szCs w:val="28"/>
        </w:rPr>
        <w:t xml:space="preserve">  </w:t>
      </w:r>
      <w:r>
        <w:rPr>
          <w:rFonts w:hint="eastAsia"/>
          <w:sz w:val="28"/>
          <w:szCs w:val="28"/>
        </w:rPr>
        <w:t>主要机械设备和试验检测设备最低要求</w:t>
      </w:r>
      <w:r>
        <w:rPr>
          <w:rStyle w:val="80"/>
          <w:sz w:val="28"/>
          <w:szCs w:val="28"/>
          <w:vertAlign w:val="superscript"/>
        </w:rPr>
        <w:footnoteReference w:id="29"/>
      </w:r>
      <w:bookmarkEnd w:id="357"/>
      <w:bookmarkEnd w:id="358"/>
    </w:p>
    <w:p w14:paraId="6814D056">
      <w:pPr>
        <w:tabs>
          <w:tab w:val="left" w:pos="2790"/>
        </w:tabs>
        <w:spacing w:line="360" w:lineRule="auto"/>
        <w:rPr>
          <w:rFonts w:eastAsia="黑体"/>
          <w:sz w:val="28"/>
          <w:szCs w:val="28"/>
        </w:rPr>
      </w:pPr>
    </w:p>
    <w:tbl>
      <w:tblPr>
        <w:tblStyle w:val="44"/>
        <w:tblW w:w="90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1918"/>
        <w:gridCol w:w="3570"/>
        <w:gridCol w:w="1155"/>
        <w:gridCol w:w="2415"/>
      </w:tblGrid>
      <w:tr w14:paraId="2C1F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3B25745A">
            <w:pPr>
              <w:tabs>
                <w:tab w:val="left" w:pos="2790"/>
              </w:tabs>
              <w:spacing w:line="360" w:lineRule="auto"/>
              <w:jc w:val="center"/>
              <w:rPr>
                <w:szCs w:val="21"/>
              </w:rPr>
            </w:pPr>
            <w:r>
              <w:rPr>
                <w:rFonts w:hint="eastAsia"/>
                <w:szCs w:val="21"/>
              </w:rPr>
              <w:t>设备名称</w:t>
            </w:r>
          </w:p>
        </w:tc>
        <w:tc>
          <w:tcPr>
            <w:tcW w:w="3570" w:type="dxa"/>
            <w:vAlign w:val="center"/>
          </w:tcPr>
          <w:p w14:paraId="06D601A1">
            <w:pPr>
              <w:tabs>
                <w:tab w:val="left" w:pos="2790"/>
              </w:tabs>
              <w:spacing w:line="360" w:lineRule="auto"/>
              <w:jc w:val="center"/>
              <w:rPr>
                <w:szCs w:val="21"/>
              </w:rPr>
            </w:pPr>
            <w:r>
              <w:rPr>
                <w:rFonts w:hint="eastAsia"/>
                <w:szCs w:val="21"/>
              </w:rPr>
              <w:t>规格、功能及容量</w:t>
            </w:r>
          </w:p>
        </w:tc>
        <w:tc>
          <w:tcPr>
            <w:tcW w:w="1155" w:type="dxa"/>
            <w:vAlign w:val="center"/>
          </w:tcPr>
          <w:p w14:paraId="0AF79FAA">
            <w:pPr>
              <w:tabs>
                <w:tab w:val="left" w:pos="2790"/>
              </w:tabs>
              <w:spacing w:line="360" w:lineRule="auto"/>
              <w:jc w:val="center"/>
              <w:rPr>
                <w:szCs w:val="21"/>
              </w:rPr>
            </w:pPr>
            <w:r>
              <w:rPr>
                <w:rFonts w:hint="eastAsia"/>
                <w:szCs w:val="21"/>
              </w:rPr>
              <w:t>单位</w:t>
            </w:r>
          </w:p>
        </w:tc>
        <w:tc>
          <w:tcPr>
            <w:tcW w:w="2415" w:type="dxa"/>
            <w:vAlign w:val="center"/>
          </w:tcPr>
          <w:p w14:paraId="61A68435">
            <w:pPr>
              <w:tabs>
                <w:tab w:val="left" w:pos="2790"/>
              </w:tabs>
              <w:spacing w:line="360" w:lineRule="auto"/>
              <w:jc w:val="center"/>
              <w:rPr>
                <w:szCs w:val="21"/>
              </w:rPr>
            </w:pPr>
            <w:r>
              <w:rPr>
                <w:rFonts w:hint="eastAsia"/>
                <w:szCs w:val="21"/>
              </w:rPr>
              <w:t>最低数量要求</w:t>
            </w:r>
          </w:p>
        </w:tc>
      </w:tr>
      <w:tr w14:paraId="386F0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3D63F515">
            <w:pPr>
              <w:tabs>
                <w:tab w:val="left" w:pos="2790"/>
              </w:tabs>
              <w:spacing w:line="360" w:lineRule="auto"/>
              <w:jc w:val="center"/>
              <w:rPr>
                <w:szCs w:val="21"/>
              </w:rPr>
            </w:pPr>
          </w:p>
        </w:tc>
        <w:tc>
          <w:tcPr>
            <w:tcW w:w="3570" w:type="dxa"/>
            <w:vAlign w:val="center"/>
          </w:tcPr>
          <w:p w14:paraId="1C11DF7A">
            <w:pPr>
              <w:tabs>
                <w:tab w:val="left" w:pos="2790"/>
              </w:tabs>
              <w:spacing w:line="360" w:lineRule="auto"/>
              <w:jc w:val="center"/>
              <w:rPr>
                <w:szCs w:val="21"/>
              </w:rPr>
            </w:pPr>
          </w:p>
        </w:tc>
        <w:tc>
          <w:tcPr>
            <w:tcW w:w="1155" w:type="dxa"/>
            <w:vAlign w:val="center"/>
          </w:tcPr>
          <w:p w14:paraId="5CFA1702">
            <w:pPr>
              <w:tabs>
                <w:tab w:val="left" w:pos="2790"/>
              </w:tabs>
              <w:spacing w:line="360" w:lineRule="auto"/>
              <w:jc w:val="center"/>
              <w:rPr>
                <w:szCs w:val="21"/>
              </w:rPr>
            </w:pPr>
          </w:p>
        </w:tc>
        <w:tc>
          <w:tcPr>
            <w:tcW w:w="2415" w:type="dxa"/>
            <w:vAlign w:val="center"/>
          </w:tcPr>
          <w:p w14:paraId="36AE245F">
            <w:pPr>
              <w:tabs>
                <w:tab w:val="left" w:pos="2790"/>
              </w:tabs>
              <w:spacing w:line="360" w:lineRule="auto"/>
              <w:ind w:firstLine="210" w:firstLineChars="100"/>
              <w:rPr>
                <w:szCs w:val="21"/>
              </w:rPr>
            </w:pPr>
          </w:p>
        </w:tc>
      </w:tr>
      <w:tr w14:paraId="6B8D2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6F222785">
            <w:pPr>
              <w:tabs>
                <w:tab w:val="left" w:pos="2790"/>
              </w:tabs>
              <w:spacing w:line="360" w:lineRule="auto"/>
              <w:jc w:val="center"/>
              <w:rPr>
                <w:szCs w:val="21"/>
              </w:rPr>
            </w:pPr>
          </w:p>
        </w:tc>
        <w:tc>
          <w:tcPr>
            <w:tcW w:w="3570" w:type="dxa"/>
            <w:vAlign w:val="center"/>
          </w:tcPr>
          <w:p w14:paraId="1E9E9A55">
            <w:pPr>
              <w:tabs>
                <w:tab w:val="left" w:pos="2790"/>
              </w:tabs>
              <w:spacing w:line="360" w:lineRule="auto"/>
              <w:jc w:val="center"/>
              <w:rPr>
                <w:szCs w:val="21"/>
              </w:rPr>
            </w:pPr>
          </w:p>
        </w:tc>
        <w:tc>
          <w:tcPr>
            <w:tcW w:w="1155" w:type="dxa"/>
            <w:vAlign w:val="center"/>
          </w:tcPr>
          <w:p w14:paraId="62C747C9">
            <w:pPr>
              <w:tabs>
                <w:tab w:val="left" w:pos="2790"/>
              </w:tabs>
              <w:spacing w:line="360" w:lineRule="auto"/>
              <w:jc w:val="center"/>
              <w:rPr>
                <w:szCs w:val="21"/>
              </w:rPr>
            </w:pPr>
          </w:p>
        </w:tc>
        <w:tc>
          <w:tcPr>
            <w:tcW w:w="2415" w:type="dxa"/>
            <w:vAlign w:val="center"/>
          </w:tcPr>
          <w:p w14:paraId="6D6D74D2">
            <w:pPr>
              <w:tabs>
                <w:tab w:val="left" w:pos="2790"/>
              </w:tabs>
              <w:spacing w:line="360" w:lineRule="auto"/>
              <w:ind w:firstLine="210" w:firstLineChars="100"/>
              <w:rPr>
                <w:szCs w:val="21"/>
              </w:rPr>
            </w:pPr>
          </w:p>
        </w:tc>
      </w:tr>
      <w:tr w14:paraId="41A77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1C330458">
            <w:pPr>
              <w:tabs>
                <w:tab w:val="left" w:pos="2790"/>
              </w:tabs>
              <w:spacing w:line="360" w:lineRule="auto"/>
              <w:jc w:val="center"/>
              <w:rPr>
                <w:szCs w:val="21"/>
              </w:rPr>
            </w:pPr>
          </w:p>
        </w:tc>
        <w:tc>
          <w:tcPr>
            <w:tcW w:w="3570" w:type="dxa"/>
            <w:vAlign w:val="center"/>
          </w:tcPr>
          <w:p w14:paraId="5A57340B">
            <w:pPr>
              <w:tabs>
                <w:tab w:val="left" w:pos="2790"/>
              </w:tabs>
              <w:spacing w:line="360" w:lineRule="auto"/>
              <w:jc w:val="center"/>
              <w:rPr>
                <w:szCs w:val="21"/>
              </w:rPr>
            </w:pPr>
          </w:p>
        </w:tc>
        <w:tc>
          <w:tcPr>
            <w:tcW w:w="1155" w:type="dxa"/>
            <w:vAlign w:val="center"/>
          </w:tcPr>
          <w:p w14:paraId="17F241CE">
            <w:pPr>
              <w:tabs>
                <w:tab w:val="left" w:pos="2790"/>
              </w:tabs>
              <w:spacing w:line="360" w:lineRule="auto"/>
              <w:jc w:val="center"/>
              <w:rPr>
                <w:szCs w:val="21"/>
              </w:rPr>
            </w:pPr>
          </w:p>
        </w:tc>
        <w:tc>
          <w:tcPr>
            <w:tcW w:w="2415" w:type="dxa"/>
            <w:vAlign w:val="center"/>
          </w:tcPr>
          <w:p w14:paraId="523A0F5A">
            <w:pPr>
              <w:tabs>
                <w:tab w:val="left" w:pos="2790"/>
              </w:tabs>
              <w:spacing w:line="360" w:lineRule="auto"/>
              <w:ind w:firstLine="210" w:firstLineChars="100"/>
              <w:rPr>
                <w:szCs w:val="21"/>
              </w:rPr>
            </w:pPr>
          </w:p>
        </w:tc>
      </w:tr>
      <w:tr w14:paraId="4572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2BD0D846">
            <w:pPr>
              <w:tabs>
                <w:tab w:val="left" w:pos="2790"/>
              </w:tabs>
              <w:spacing w:line="360" w:lineRule="auto"/>
              <w:jc w:val="center"/>
              <w:rPr>
                <w:szCs w:val="21"/>
              </w:rPr>
            </w:pPr>
          </w:p>
        </w:tc>
        <w:tc>
          <w:tcPr>
            <w:tcW w:w="3570" w:type="dxa"/>
            <w:vAlign w:val="center"/>
          </w:tcPr>
          <w:p w14:paraId="30F1B19B">
            <w:pPr>
              <w:tabs>
                <w:tab w:val="left" w:pos="2790"/>
              </w:tabs>
              <w:spacing w:line="360" w:lineRule="auto"/>
              <w:jc w:val="center"/>
              <w:rPr>
                <w:szCs w:val="21"/>
              </w:rPr>
            </w:pPr>
          </w:p>
        </w:tc>
        <w:tc>
          <w:tcPr>
            <w:tcW w:w="1155" w:type="dxa"/>
            <w:vAlign w:val="center"/>
          </w:tcPr>
          <w:p w14:paraId="7B36E468">
            <w:pPr>
              <w:tabs>
                <w:tab w:val="left" w:pos="2790"/>
              </w:tabs>
              <w:spacing w:line="360" w:lineRule="auto"/>
              <w:jc w:val="center"/>
              <w:rPr>
                <w:szCs w:val="21"/>
              </w:rPr>
            </w:pPr>
          </w:p>
        </w:tc>
        <w:tc>
          <w:tcPr>
            <w:tcW w:w="2415" w:type="dxa"/>
            <w:vAlign w:val="center"/>
          </w:tcPr>
          <w:p w14:paraId="3C4D32D3">
            <w:pPr>
              <w:tabs>
                <w:tab w:val="left" w:pos="2790"/>
              </w:tabs>
              <w:spacing w:line="360" w:lineRule="auto"/>
              <w:ind w:firstLine="210" w:firstLineChars="100"/>
              <w:rPr>
                <w:szCs w:val="21"/>
              </w:rPr>
            </w:pPr>
          </w:p>
        </w:tc>
      </w:tr>
      <w:tr w14:paraId="08B0E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370B3478">
            <w:pPr>
              <w:tabs>
                <w:tab w:val="left" w:pos="2790"/>
              </w:tabs>
              <w:spacing w:line="360" w:lineRule="auto"/>
              <w:jc w:val="center"/>
              <w:rPr>
                <w:szCs w:val="21"/>
              </w:rPr>
            </w:pPr>
          </w:p>
        </w:tc>
        <w:tc>
          <w:tcPr>
            <w:tcW w:w="3570" w:type="dxa"/>
            <w:vAlign w:val="center"/>
          </w:tcPr>
          <w:p w14:paraId="3617CD47">
            <w:pPr>
              <w:tabs>
                <w:tab w:val="left" w:pos="2790"/>
              </w:tabs>
              <w:spacing w:line="360" w:lineRule="auto"/>
              <w:jc w:val="center"/>
              <w:rPr>
                <w:szCs w:val="21"/>
              </w:rPr>
            </w:pPr>
          </w:p>
        </w:tc>
        <w:tc>
          <w:tcPr>
            <w:tcW w:w="1155" w:type="dxa"/>
            <w:vAlign w:val="center"/>
          </w:tcPr>
          <w:p w14:paraId="176C613D">
            <w:pPr>
              <w:tabs>
                <w:tab w:val="left" w:pos="2790"/>
              </w:tabs>
              <w:spacing w:line="360" w:lineRule="auto"/>
              <w:jc w:val="center"/>
              <w:rPr>
                <w:szCs w:val="21"/>
              </w:rPr>
            </w:pPr>
          </w:p>
        </w:tc>
        <w:tc>
          <w:tcPr>
            <w:tcW w:w="2415" w:type="dxa"/>
            <w:vAlign w:val="center"/>
          </w:tcPr>
          <w:p w14:paraId="1D7CBC08">
            <w:pPr>
              <w:tabs>
                <w:tab w:val="left" w:pos="2790"/>
              </w:tabs>
              <w:spacing w:line="360" w:lineRule="auto"/>
              <w:ind w:firstLine="210" w:firstLineChars="100"/>
              <w:rPr>
                <w:szCs w:val="21"/>
              </w:rPr>
            </w:pPr>
          </w:p>
        </w:tc>
      </w:tr>
      <w:tr w14:paraId="6B94B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40770B3D">
            <w:pPr>
              <w:tabs>
                <w:tab w:val="left" w:pos="2790"/>
              </w:tabs>
              <w:spacing w:line="360" w:lineRule="auto"/>
              <w:jc w:val="center"/>
              <w:rPr>
                <w:szCs w:val="21"/>
              </w:rPr>
            </w:pPr>
          </w:p>
        </w:tc>
        <w:tc>
          <w:tcPr>
            <w:tcW w:w="3570" w:type="dxa"/>
            <w:vAlign w:val="center"/>
          </w:tcPr>
          <w:p w14:paraId="1FF8E71C">
            <w:pPr>
              <w:tabs>
                <w:tab w:val="left" w:pos="2790"/>
              </w:tabs>
              <w:spacing w:line="360" w:lineRule="auto"/>
              <w:jc w:val="center"/>
              <w:rPr>
                <w:szCs w:val="21"/>
              </w:rPr>
            </w:pPr>
          </w:p>
        </w:tc>
        <w:tc>
          <w:tcPr>
            <w:tcW w:w="1155" w:type="dxa"/>
            <w:vAlign w:val="center"/>
          </w:tcPr>
          <w:p w14:paraId="5FCFC478">
            <w:pPr>
              <w:tabs>
                <w:tab w:val="left" w:pos="2790"/>
              </w:tabs>
              <w:spacing w:line="360" w:lineRule="auto"/>
              <w:jc w:val="center"/>
              <w:rPr>
                <w:szCs w:val="21"/>
              </w:rPr>
            </w:pPr>
          </w:p>
        </w:tc>
        <w:tc>
          <w:tcPr>
            <w:tcW w:w="2415" w:type="dxa"/>
            <w:vAlign w:val="center"/>
          </w:tcPr>
          <w:p w14:paraId="0632E8DC">
            <w:pPr>
              <w:tabs>
                <w:tab w:val="left" w:pos="2790"/>
              </w:tabs>
              <w:spacing w:line="360" w:lineRule="auto"/>
              <w:ind w:firstLine="210" w:firstLineChars="100"/>
              <w:rPr>
                <w:szCs w:val="21"/>
              </w:rPr>
            </w:pPr>
          </w:p>
        </w:tc>
      </w:tr>
      <w:tr w14:paraId="30668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48781538">
            <w:pPr>
              <w:tabs>
                <w:tab w:val="left" w:pos="2790"/>
              </w:tabs>
              <w:spacing w:line="360" w:lineRule="auto"/>
              <w:jc w:val="center"/>
              <w:rPr>
                <w:szCs w:val="21"/>
              </w:rPr>
            </w:pPr>
          </w:p>
        </w:tc>
        <w:tc>
          <w:tcPr>
            <w:tcW w:w="3570" w:type="dxa"/>
            <w:vAlign w:val="center"/>
          </w:tcPr>
          <w:p w14:paraId="38E4D56B">
            <w:pPr>
              <w:tabs>
                <w:tab w:val="left" w:pos="2790"/>
              </w:tabs>
              <w:spacing w:line="360" w:lineRule="auto"/>
              <w:jc w:val="center"/>
              <w:rPr>
                <w:szCs w:val="21"/>
              </w:rPr>
            </w:pPr>
          </w:p>
        </w:tc>
        <w:tc>
          <w:tcPr>
            <w:tcW w:w="1155" w:type="dxa"/>
            <w:vAlign w:val="center"/>
          </w:tcPr>
          <w:p w14:paraId="02B03367">
            <w:pPr>
              <w:tabs>
                <w:tab w:val="left" w:pos="2790"/>
              </w:tabs>
              <w:spacing w:line="360" w:lineRule="auto"/>
              <w:jc w:val="center"/>
              <w:rPr>
                <w:szCs w:val="21"/>
              </w:rPr>
            </w:pPr>
          </w:p>
        </w:tc>
        <w:tc>
          <w:tcPr>
            <w:tcW w:w="2415" w:type="dxa"/>
            <w:vAlign w:val="center"/>
          </w:tcPr>
          <w:p w14:paraId="75A48559">
            <w:pPr>
              <w:tabs>
                <w:tab w:val="left" w:pos="2790"/>
              </w:tabs>
              <w:spacing w:line="360" w:lineRule="auto"/>
              <w:ind w:firstLine="210" w:firstLineChars="100"/>
              <w:rPr>
                <w:szCs w:val="21"/>
              </w:rPr>
            </w:pPr>
          </w:p>
        </w:tc>
      </w:tr>
      <w:tr w14:paraId="1807A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51792FCB">
            <w:pPr>
              <w:tabs>
                <w:tab w:val="left" w:pos="2790"/>
              </w:tabs>
              <w:spacing w:line="360" w:lineRule="auto"/>
              <w:jc w:val="center"/>
              <w:rPr>
                <w:szCs w:val="21"/>
              </w:rPr>
            </w:pPr>
          </w:p>
        </w:tc>
        <w:tc>
          <w:tcPr>
            <w:tcW w:w="3570" w:type="dxa"/>
            <w:vAlign w:val="center"/>
          </w:tcPr>
          <w:p w14:paraId="0D37184E">
            <w:pPr>
              <w:tabs>
                <w:tab w:val="left" w:pos="2790"/>
              </w:tabs>
              <w:spacing w:line="360" w:lineRule="auto"/>
              <w:jc w:val="center"/>
              <w:rPr>
                <w:szCs w:val="21"/>
              </w:rPr>
            </w:pPr>
          </w:p>
        </w:tc>
        <w:tc>
          <w:tcPr>
            <w:tcW w:w="1155" w:type="dxa"/>
            <w:vAlign w:val="center"/>
          </w:tcPr>
          <w:p w14:paraId="3164BA67">
            <w:pPr>
              <w:tabs>
                <w:tab w:val="left" w:pos="2790"/>
              </w:tabs>
              <w:spacing w:line="360" w:lineRule="auto"/>
              <w:jc w:val="center"/>
              <w:rPr>
                <w:szCs w:val="21"/>
              </w:rPr>
            </w:pPr>
          </w:p>
        </w:tc>
        <w:tc>
          <w:tcPr>
            <w:tcW w:w="2415" w:type="dxa"/>
            <w:vAlign w:val="center"/>
          </w:tcPr>
          <w:p w14:paraId="547322AD">
            <w:pPr>
              <w:tabs>
                <w:tab w:val="left" w:pos="2790"/>
              </w:tabs>
              <w:spacing w:line="360" w:lineRule="auto"/>
              <w:ind w:firstLine="210" w:firstLineChars="100"/>
              <w:rPr>
                <w:szCs w:val="21"/>
              </w:rPr>
            </w:pPr>
          </w:p>
        </w:tc>
      </w:tr>
      <w:tr w14:paraId="13AE5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71508730">
            <w:pPr>
              <w:tabs>
                <w:tab w:val="left" w:pos="2790"/>
              </w:tabs>
              <w:spacing w:line="360" w:lineRule="auto"/>
              <w:jc w:val="center"/>
              <w:rPr>
                <w:szCs w:val="21"/>
              </w:rPr>
            </w:pPr>
          </w:p>
        </w:tc>
        <w:tc>
          <w:tcPr>
            <w:tcW w:w="3570" w:type="dxa"/>
            <w:vAlign w:val="center"/>
          </w:tcPr>
          <w:p w14:paraId="41105E5F">
            <w:pPr>
              <w:tabs>
                <w:tab w:val="left" w:pos="2790"/>
              </w:tabs>
              <w:spacing w:line="360" w:lineRule="auto"/>
              <w:jc w:val="center"/>
              <w:rPr>
                <w:szCs w:val="21"/>
              </w:rPr>
            </w:pPr>
          </w:p>
        </w:tc>
        <w:tc>
          <w:tcPr>
            <w:tcW w:w="1155" w:type="dxa"/>
            <w:vAlign w:val="center"/>
          </w:tcPr>
          <w:p w14:paraId="19B7F6B6">
            <w:pPr>
              <w:tabs>
                <w:tab w:val="left" w:pos="2790"/>
              </w:tabs>
              <w:spacing w:line="360" w:lineRule="auto"/>
              <w:jc w:val="center"/>
              <w:rPr>
                <w:szCs w:val="21"/>
              </w:rPr>
            </w:pPr>
          </w:p>
        </w:tc>
        <w:tc>
          <w:tcPr>
            <w:tcW w:w="2415" w:type="dxa"/>
            <w:vAlign w:val="center"/>
          </w:tcPr>
          <w:p w14:paraId="3680D9FD">
            <w:pPr>
              <w:tabs>
                <w:tab w:val="left" w:pos="2790"/>
              </w:tabs>
              <w:spacing w:line="360" w:lineRule="auto"/>
              <w:ind w:firstLine="210" w:firstLineChars="100"/>
              <w:rPr>
                <w:szCs w:val="21"/>
              </w:rPr>
            </w:pPr>
          </w:p>
        </w:tc>
      </w:tr>
      <w:tr w14:paraId="4833F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314DD672">
            <w:pPr>
              <w:tabs>
                <w:tab w:val="left" w:pos="2790"/>
              </w:tabs>
              <w:spacing w:line="360" w:lineRule="auto"/>
              <w:jc w:val="center"/>
              <w:rPr>
                <w:szCs w:val="21"/>
              </w:rPr>
            </w:pPr>
          </w:p>
        </w:tc>
        <w:tc>
          <w:tcPr>
            <w:tcW w:w="3570" w:type="dxa"/>
            <w:vAlign w:val="center"/>
          </w:tcPr>
          <w:p w14:paraId="5FD2B998">
            <w:pPr>
              <w:tabs>
                <w:tab w:val="left" w:pos="2790"/>
              </w:tabs>
              <w:spacing w:line="360" w:lineRule="auto"/>
              <w:jc w:val="center"/>
              <w:rPr>
                <w:szCs w:val="21"/>
              </w:rPr>
            </w:pPr>
          </w:p>
        </w:tc>
        <w:tc>
          <w:tcPr>
            <w:tcW w:w="1155" w:type="dxa"/>
            <w:vAlign w:val="center"/>
          </w:tcPr>
          <w:p w14:paraId="0CFC0906">
            <w:pPr>
              <w:tabs>
                <w:tab w:val="left" w:pos="2790"/>
              </w:tabs>
              <w:spacing w:line="360" w:lineRule="auto"/>
              <w:jc w:val="center"/>
              <w:rPr>
                <w:szCs w:val="21"/>
              </w:rPr>
            </w:pPr>
          </w:p>
        </w:tc>
        <w:tc>
          <w:tcPr>
            <w:tcW w:w="2415" w:type="dxa"/>
            <w:vAlign w:val="center"/>
          </w:tcPr>
          <w:p w14:paraId="00D37961">
            <w:pPr>
              <w:tabs>
                <w:tab w:val="left" w:pos="2790"/>
              </w:tabs>
              <w:spacing w:line="360" w:lineRule="auto"/>
              <w:ind w:firstLine="210" w:firstLineChars="100"/>
              <w:rPr>
                <w:szCs w:val="21"/>
              </w:rPr>
            </w:pPr>
          </w:p>
        </w:tc>
      </w:tr>
      <w:tr w14:paraId="012DD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trPr>
        <w:tc>
          <w:tcPr>
            <w:tcW w:w="1918" w:type="dxa"/>
            <w:vAlign w:val="center"/>
          </w:tcPr>
          <w:p w14:paraId="6C332A85">
            <w:pPr>
              <w:tabs>
                <w:tab w:val="left" w:pos="2790"/>
              </w:tabs>
              <w:spacing w:line="360" w:lineRule="auto"/>
              <w:jc w:val="center"/>
              <w:rPr>
                <w:szCs w:val="21"/>
              </w:rPr>
            </w:pPr>
          </w:p>
        </w:tc>
        <w:tc>
          <w:tcPr>
            <w:tcW w:w="3570" w:type="dxa"/>
            <w:vAlign w:val="center"/>
          </w:tcPr>
          <w:p w14:paraId="7E14985E">
            <w:pPr>
              <w:tabs>
                <w:tab w:val="left" w:pos="2790"/>
              </w:tabs>
              <w:spacing w:line="360" w:lineRule="auto"/>
              <w:jc w:val="center"/>
              <w:rPr>
                <w:szCs w:val="21"/>
              </w:rPr>
            </w:pPr>
          </w:p>
        </w:tc>
        <w:tc>
          <w:tcPr>
            <w:tcW w:w="1155" w:type="dxa"/>
            <w:vAlign w:val="center"/>
          </w:tcPr>
          <w:p w14:paraId="1D3214D0">
            <w:pPr>
              <w:tabs>
                <w:tab w:val="left" w:pos="2790"/>
              </w:tabs>
              <w:spacing w:line="360" w:lineRule="auto"/>
              <w:jc w:val="center"/>
              <w:rPr>
                <w:szCs w:val="21"/>
              </w:rPr>
            </w:pPr>
          </w:p>
        </w:tc>
        <w:tc>
          <w:tcPr>
            <w:tcW w:w="2415" w:type="dxa"/>
            <w:vAlign w:val="center"/>
          </w:tcPr>
          <w:p w14:paraId="0AC36A2C">
            <w:pPr>
              <w:tabs>
                <w:tab w:val="left" w:pos="2790"/>
              </w:tabs>
              <w:spacing w:line="360" w:lineRule="auto"/>
              <w:ind w:firstLine="210" w:firstLineChars="100"/>
              <w:rPr>
                <w:szCs w:val="21"/>
              </w:rPr>
            </w:pPr>
          </w:p>
        </w:tc>
      </w:tr>
    </w:tbl>
    <w:p w14:paraId="6B224C5B">
      <w:pPr>
        <w:tabs>
          <w:tab w:val="left" w:pos="2790"/>
        </w:tabs>
        <w:spacing w:line="360" w:lineRule="auto"/>
        <w:outlineLvl w:val="2"/>
        <w:rPr>
          <w:sz w:val="28"/>
          <w:szCs w:val="28"/>
        </w:rPr>
      </w:pPr>
      <w:r>
        <w:rPr>
          <w:sz w:val="24"/>
        </w:rPr>
        <w:br w:type="page"/>
      </w:r>
      <w:bookmarkStart w:id="359" w:name="_Toc13076"/>
      <w:bookmarkStart w:id="360" w:name="_Toc154675143"/>
      <w:r>
        <w:rPr>
          <w:rFonts w:hint="eastAsia"/>
          <w:sz w:val="28"/>
          <w:szCs w:val="28"/>
        </w:rPr>
        <w:t>附件六</w:t>
      </w:r>
      <w:r>
        <w:rPr>
          <w:sz w:val="28"/>
          <w:szCs w:val="28"/>
        </w:rPr>
        <w:t xml:space="preserve">  </w:t>
      </w:r>
      <w:r>
        <w:rPr>
          <w:rFonts w:hint="eastAsia"/>
          <w:sz w:val="28"/>
          <w:szCs w:val="28"/>
        </w:rPr>
        <w:t>项目经理委任书</w:t>
      </w:r>
      <w:bookmarkEnd w:id="359"/>
      <w:bookmarkEnd w:id="360"/>
    </w:p>
    <w:p w14:paraId="0DB8CB0F">
      <w:pPr>
        <w:tabs>
          <w:tab w:val="left" w:pos="2790"/>
        </w:tabs>
        <w:spacing w:line="360" w:lineRule="auto"/>
        <w:rPr>
          <w:sz w:val="24"/>
        </w:rPr>
      </w:pPr>
    </w:p>
    <w:p w14:paraId="363F3A0A">
      <w:pPr>
        <w:tabs>
          <w:tab w:val="left" w:pos="2790"/>
        </w:tabs>
        <w:spacing w:line="360" w:lineRule="auto"/>
        <w:jc w:val="center"/>
        <w:rPr>
          <w:rFonts w:eastAsia="黑体"/>
          <w:sz w:val="28"/>
          <w:szCs w:val="28"/>
          <w:u w:val="single"/>
        </w:rPr>
      </w:pPr>
      <w:r>
        <w:rPr>
          <w:rFonts w:hint="eastAsia" w:eastAsia="黑体"/>
          <w:sz w:val="28"/>
          <w:szCs w:val="28"/>
          <w:u w:val="single"/>
        </w:rPr>
        <w:t>（承包人全称）</w:t>
      </w:r>
    </w:p>
    <w:p w14:paraId="7F338BCE">
      <w:pPr>
        <w:tabs>
          <w:tab w:val="left" w:pos="2790"/>
        </w:tabs>
        <w:spacing w:line="360" w:lineRule="auto"/>
        <w:jc w:val="center"/>
        <w:rPr>
          <w:rFonts w:eastAsia="黑体"/>
          <w:sz w:val="28"/>
          <w:szCs w:val="28"/>
        </w:rPr>
      </w:pPr>
      <w:r>
        <w:rPr>
          <w:rFonts w:hint="eastAsia" w:eastAsia="黑体"/>
          <w:sz w:val="28"/>
          <w:szCs w:val="28"/>
          <w:u w:val="single"/>
        </w:rPr>
        <w:t>（合同工程名称）</w:t>
      </w:r>
      <w:r>
        <w:rPr>
          <w:rFonts w:hint="eastAsia" w:eastAsia="黑体"/>
          <w:sz w:val="28"/>
          <w:szCs w:val="28"/>
        </w:rPr>
        <w:t>项目经理委任书</w:t>
      </w:r>
    </w:p>
    <w:p w14:paraId="22918355">
      <w:pPr>
        <w:tabs>
          <w:tab w:val="left" w:pos="2790"/>
        </w:tabs>
        <w:spacing w:line="360" w:lineRule="auto"/>
        <w:rPr>
          <w:szCs w:val="21"/>
        </w:rPr>
      </w:pPr>
    </w:p>
    <w:p w14:paraId="7A7D86BD">
      <w:pPr>
        <w:tabs>
          <w:tab w:val="left" w:pos="2790"/>
        </w:tabs>
        <w:spacing w:line="360" w:lineRule="auto"/>
        <w:rPr>
          <w:szCs w:val="21"/>
        </w:rPr>
      </w:pPr>
      <w:r>
        <w:rPr>
          <w:rFonts w:hint="eastAsia"/>
          <w:szCs w:val="21"/>
        </w:rPr>
        <w:t>致：</w:t>
      </w:r>
      <w:r>
        <w:rPr>
          <w:rFonts w:hint="eastAsia"/>
          <w:szCs w:val="21"/>
          <w:u w:val="single"/>
        </w:rPr>
        <w:t>（发包人全称）</w:t>
      </w:r>
    </w:p>
    <w:p w14:paraId="7D7BACC9">
      <w:pPr>
        <w:tabs>
          <w:tab w:val="left" w:pos="2790"/>
        </w:tabs>
        <w:spacing w:line="360" w:lineRule="auto"/>
        <w:ind w:firstLine="420" w:firstLineChars="200"/>
        <w:rPr>
          <w:szCs w:val="21"/>
        </w:rPr>
      </w:pPr>
      <w:r>
        <w:rPr>
          <w:rFonts w:hint="eastAsia"/>
          <w:szCs w:val="21"/>
          <w:u w:val="single"/>
        </w:rPr>
        <w:t>（承包人全称）</w:t>
      </w:r>
      <w:r>
        <w:rPr>
          <w:rFonts w:hint="eastAsia"/>
          <w:szCs w:val="21"/>
        </w:rPr>
        <w:t>法定代表人</w:t>
      </w:r>
      <w:r>
        <w:rPr>
          <w:rFonts w:hint="eastAsia"/>
          <w:szCs w:val="21"/>
          <w:u w:val="single"/>
        </w:rPr>
        <w:t>（职务、姓名）</w:t>
      </w:r>
      <w:r>
        <w:rPr>
          <w:rFonts w:hint="eastAsia"/>
          <w:szCs w:val="21"/>
        </w:rPr>
        <w:t>代表本单位委任</w:t>
      </w:r>
      <w:r>
        <w:rPr>
          <w:rFonts w:hint="eastAsia"/>
          <w:szCs w:val="21"/>
          <w:u w:val="single"/>
        </w:rPr>
        <w:t>（职务、姓名）</w:t>
      </w:r>
      <w:r>
        <w:rPr>
          <w:rFonts w:hint="eastAsia"/>
          <w:szCs w:val="21"/>
        </w:rPr>
        <w:t>为</w:t>
      </w:r>
      <w:r>
        <w:rPr>
          <w:rFonts w:hint="eastAsia"/>
          <w:szCs w:val="21"/>
          <w:u w:val="single"/>
        </w:rPr>
        <w:t>（合同工程名称）</w:t>
      </w:r>
      <w:r>
        <w:rPr>
          <w:rFonts w:hint="eastAsia"/>
          <w:szCs w:val="21"/>
        </w:rPr>
        <w:t>的项目经理。凡本合同执行中的有关技术、工程进度、现场管理、质量检验、结算与支付等方面工作，由</w:t>
      </w:r>
      <w:r>
        <w:rPr>
          <w:rFonts w:hint="eastAsia"/>
          <w:szCs w:val="21"/>
          <w:u w:val="single"/>
        </w:rPr>
        <w:t>（姓名）</w:t>
      </w:r>
      <w:r>
        <w:rPr>
          <w:rFonts w:hint="eastAsia"/>
          <w:szCs w:val="21"/>
        </w:rPr>
        <w:t>代表本单位全面负责。</w:t>
      </w:r>
    </w:p>
    <w:p w14:paraId="0F20B019">
      <w:pPr>
        <w:tabs>
          <w:tab w:val="left" w:pos="2790"/>
        </w:tabs>
        <w:spacing w:line="360" w:lineRule="auto"/>
        <w:rPr>
          <w:szCs w:val="21"/>
        </w:rPr>
      </w:pPr>
    </w:p>
    <w:p w14:paraId="665062CE">
      <w:pPr>
        <w:tabs>
          <w:tab w:val="left" w:pos="2790"/>
        </w:tabs>
        <w:spacing w:line="360" w:lineRule="auto"/>
        <w:rPr>
          <w:szCs w:val="21"/>
        </w:rPr>
      </w:pPr>
    </w:p>
    <w:p w14:paraId="245B6F76">
      <w:pPr>
        <w:tabs>
          <w:tab w:val="left" w:pos="2790"/>
        </w:tabs>
        <w:spacing w:line="360" w:lineRule="auto"/>
        <w:ind w:firstLine="3570" w:firstLineChars="1700"/>
        <w:rPr>
          <w:szCs w:val="21"/>
        </w:rPr>
      </w:pPr>
      <w:r>
        <w:rPr>
          <w:rFonts w:hint="eastAsia"/>
          <w:szCs w:val="21"/>
        </w:rPr>
        <w:t>承</w:t>
      </w:r>
      <w:r>
        <w:rPr>
          <w:szCs w:val="21"/>
        </w:rPr>
        <w:t xml:space="preserve">  </w:t>
      </w:r>
      <w:r>
        <w:rPr>
          <w:rFonts w:hint="eastAsia"/>
          <w:szCs w:val="21"/>
        </w:rPr>
        <w:t>包</w:t>
      </w:r>
      <w:r>
        <w:rPr>
          <w:szCs w:val="21"/>
        </w:rPr>
        <w:t xml:space="preserve">  </w:t>
      </w:r>
      <w:r>
        <w:rPr>
          <w:rFonts w:hint="eastAsia"/>
          <w:szCs w:val="21"/>
        </w:rPr>
        <w:t>人：</w:t>
      </w:r>
      <w:r>
        <w:rPr>
          <w:szCs w:val="21"/>
          <w:u w:val="single"/>
        </w:rPr>
        <w:t xml:space="preserve">                   </w:t>
      </w:r>
      <w:r>
        <w:rPr>
          <w:rFonts w:hint="eastAsia"/>
          <w:szCs w:val="21"/>
        </w:rPr>
        <w:t>（盖单位章）</w:t>
      </w:r>
    </w:p>
    <w:p w14:paraId="71E4DFA3">
      <w:pPr>
        <w:tabs>
          <w:tab w:val="left" w:pos="2790"/>
        </w:tabs>
        <w:spacing w:line="360" w:lineRule="auto"/>
        <w:ind w:firstLine="3570" w:firstLineChars="1700"/>
        <w:rPr>
          <w:szCs w:val="21"/>
        </w:rPr>
      </w:pPr>
      <w:r>
        <w:rPr>
          <w:rFonts w:hint="eastAsia"/>
          <w:szCs w:val="21"/>
        </w:rPr>
        <w:t>法定代表人：</w:t>
      </w:r>
      <w:r>
        <w:rPr>
          <w:szCs w:val="21"/>
          <w:u w:val="single"/>
        </w:rPr>
        <w:t xml:space="preserve">      </w:t>
      </w:r>
      <w:r>
        <w:rPr>
          <w:rFonts w:hint="eastAsia"/>
          <w:szCs w:val="21"/>
          <w:u w:val="single"/>
        </w:rPr>
        <w:t>（职务）</w:t>
      </w:r>
      <w:r>
        <w:rPr>
          <w:szCs w:val="21"/>
          <w:u w:val="single"/>
        </w:rPr>
        <w:t xml:space="preserve">       </w:t>
      </w:r>
    </w:p>
    <w:p w14:paraId="779E3A3F">
      <w:pPr>
        <w:tabs>
          <w:tab w:val="left" w:pos="2790"/>
        </w:tabs>
        <w:spacing w:line="360" w:lineRule="auto"/>
        <w:ind w:firstLine="4830" w:firstLineChars="2300"/>
        <w:rPr>
          <w:szCs w:val="21"/>
        </w:rPr>
      </w:pPr>
      <w:r>
        <w:rPr>
          <w:szCs w:val="21"/>
          <w:u w:val="single"/>
        </w:rPr>
        <w:t xml:space="preserve">      </w:t>
      </w:r>
      <w:r>
        <w:rPr>
          <w:rFonts w:hint="eastAsia"/>
          <w:szCs w:val="21"/>
          <w:u w:val="single"/>
        </w:rPr>
        <w:t>（姓名）</w:t>
      </w:r>
      <w:r>
        <w:rPr>
          <w:szCs w:val="21"/>
          <w:u w:val="single"/>
        </w:rPr>
        <w:t xml:space="preserve">       </w:t>
      </w:r>
    </w:p>
    <w:p w14:paraId="26B1D169">
      <w:pPr>
        <w:tabs>
          <w:tab w:val="left" w:pos="2790"/>
        </w:tabs>
        <w:spacing w:line="360" w:lineRule="auto"/>
        <w:ind w:firstLine="4830" w:firstLineChars="2300"/>
        <w:rPr>
          <w:szCs w:val="21"/>
        </w:rPr>
      </w:pPr>
      <w:r>
        <w:rPr>
          <w:szCs w:val="21"/>
          <w:u w:val="single"/>
        </w:rPr>
        <w:t xml:space="preserve">      </w:t>
      </w:r>
      <w:r>
        <w:rPr>
          <w:rFonts w:hint="eastAsia"/>
          <w:szCs w:val="21"/>
          <w:u w:val="single"/>
        </w:rPr>
        <w:t>（签字）</w:t>
      </w:r>
      <w:r>
        <w:rPr>
          <w:szCs w:val="21"/>
          <w:u w:val="single"/>
        </w:rPr>
        <w:t xml:space="preserve">       </w:t>
      </w:r>
    </w:p>
    <w:p w14:paraId="79B59CDD">
      <w:pPr>
        <w:tabs>
          <w:tab w:val="left" w:pos="2790"/>
        </w:tabs>
        <w:spacing w:line="360" w:lineRule="auto"/>
        <w:ind w:firstLine="4867" w:firstLineChars="2318"/>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0179A4E0">
      <w:pPr>
        <w:tabs>
          <w:tab w:val="left" w:pos="2790"/>
        </w:tabs>
        <w:spacing w:line="360" w:lineRule="auto"/>
        <w:rPr>
          <w:szCs w:val="21"/>
        </w:rPr>
      </w:pPr>
    </w:p>
    <w:p w14:paraId="23560D3D">
      <w:pPr>
        <w:tabs>
          <w:tab w:val="left" w:pos="2790"/>
        </w:tabs>
        <w:spacing w:line="360" w:lineRule="auto"/>
        <w:rPr>
          <w:szCs w:val="21"/>
        </w:rPr>
      </w:pPr>
      <w:r>
        <w:rPr>
          <w:rFonts w:hint="eastAsia"/>
          <w:szCs w:val="21"/>
        </w:rPr>
        <w:t>抄送：</w:t>
      </w:r>
      <w:r>
        <w:rPr>
          <w:rFonts w:hint="eastAsia"/>
          <w:szCs w:val="21"/>
          <w:u w:val="single"/>
        </w:rPr>
        <w:t>（监理人）</w:t>
      </w:r>
    </w:p>
    <w:p w14:paraId="1FB0AD66">
      <w:pPr>
        <w:tabs>
          <w:tab w:val="left" w:pos="2790"/>
        </w:tabs>
        <w:spacing w:line="360" w:lineRule="auto"/>
        <w:rPr>
          <w:szCs w:val="21"/>
        </w:rPr>
      </w:pPr>
    </w:p>
    <w:p w14:paraId="5CE6BE24">
      <w:pPr>
        <w:tabs>
          <w:tab w:val="left" w:pos="2790"/>
        </w:tabs>
        <w:spacing w:line="360" w:lineRule="auto"/>
        <w:outlineLvl w:val="2"/>
        <w:rPr>
          <w:sz w:val="28"/>
          <w:szCs w:val="28"/>
        </w:rPr>
      </w:pPr>
      <w:r>
        <w:rPr>
          <w:sz w:val="24"/>
        </w:rPr>
        <w:br w:type="page"/>
      </w:r>
      <w:bookmarkStart w:id="361" w:name="_Toc26315"/>
      <w:bookmarkStart w:id="362" w:name="_Toc154675144"/>
      <w:r>
        <w:rPr>
          <w:rFonts w:hint="eastAsia"/>
          <w:sz w:val="28"/>
          <w:szCs w:val="28"/>
        </w:rPr>
        <w:t>附件七</w:t>
      </w:r>
      <w:r>
        <w:rPr>
          <w:sz w:val="28"/>
          <w:szCs w:val="28"/>
        </w:rPr>
        <w:t xml:space="preserve">  </w:t>
      </w:r>
      <w:r>
        <w:rPr>
          <w:rFonts w:hint="eastAsia"/>
          <w:sz w:val="28"/>
          <w:szCs w:val="28"/>
        </w:rPr>
        <w:t>履约保证金格式</w:t>
      </w:r>
      <w:bookmarkEnd w:id="361"/>
      <w:bookmarkEnd w:id="362"/>
    </w:p>
    <w:p w14:paraId="52F8B785">
      <w:pPr>
        <w:tabs>
          <w:tab w:val="left" w:pos="2790"/>
        </w:tabs>
        <w:spacing w:line="360" w:lineRule="auto"/>
        <w:rPr>
          <w:szCs w:val="21"/>
        </w:rPr>
      </w:pPr>
      <w:r>
        <w:rPr>
          <w:rFonts w:hint="eastAsia"/>
          <w:szCs w:val="21"/>
        </w:rPr>
        <w:t>如采用银行保函，格式如下：</w:t>
      </w:r>
    </w:p>
    <w:p w14:paraId="02751043">
      <w:pPr>
        <w:tabs>
          <w:tab w:val="left" w:pos="2790"/>
        </w:tabs>
        <w:spacing w:line="360" w:lineRule="auto"/>
        <w:jc w:val="center"/>
        <w:rPr>
          <w:rFonts w:eastAsia="黑体"/>
          <w:sz w:val="28"/>
          <w:szCs w:val="28"/>
        </w:rPr>
      </w:pPr>
      <w:r>
        <w:rPr>
          <w:rFonts w:hint="eastAsia" w:eastAsia="黑体"/>
          <w:sz w:val="28"/>
          <w:szCs w:val="28"/>
        </w:rPr>
        <w:t>履约保证金</w:t>
      </w:r>
    </w:p>
    <w:p w14:paraId="7F54A3EC">
      <w:pPr>
        <w:tabs>
          <w:tab w:val="left" w:pos="2790"/>
        </w:tabs>
        <w:spacing w:line="360" w:lineRule="auto"/>
        <w:rPr>
          <w:szCs w:val="21"/>
        </w:rPr>
      </w:pPr>
    </w:p>
    <w:p w14:paraId="0256F360">
      <w:pPr>
        <w:tabs>
          <w:tab w:val="left" w:pos="2790"/>
        </w:tabs>
        <w:spacing w:line="360" w:lineRule="auto"/>
        <w:rPr>
          <w:szCs w:val="21"/>
        </w:rPr>
      </w:pPr>
      <w:r>
        <w:rPr>
          <w:szCs w:val="21"/>
          <w:u w:val="single"/>
        </w:rPr>
        <w:t xml:space="preserve">             </w:t>
      </w:r>
      <w:r>
        <w:rPr>
          <w:szCs w:val="21"/>
        </w:rPr>
        <w:t xml:space="preserve"> </w:t>
      </w:r>
      <w:r>
        <w:rPr>
          <w:rFonts w:hint="eastAsia"/>
          <w:szCs w:val="21"/>
        </w:rPr>
        <w:t>（发包人名称）：</w:t>
      </w:r>
    </w:p>
    <w:p w14:paraId="6400F120">
      <w:pPr>
        <w:tabs>
          <w:tab w:val="left" w:pos="2790"/>
        </w:tabs>
        <w:spacing w:line="360" w:lineRule="auto"/>
        <w:ind w:firstLine="420" w:firstLineChars="200"/>
        <w:rPr>
          <w:szCs w:val="21"/>
        </w:rPr>
      </w:pPr>
      <w:r>
        <w:rPr>
          <w:rFonts w:hint="eastAsia"/>
          <w:szCs w:val="21"/>
        </w:rPr>
        <w:t>鉴于</w:t>
      </w:r>
      <w:r>
        <w:rPr>
          <w:szCs w:val="21"/>
          <w:u w:val="single"/>
        </w:rPr>
        <w:t xml:space="preserve">             </w:t>
      </w:r>
      <w:r>
        <w:rPr>
          <w:rFonts w:hint="eastAsia"/>
          <w:szCs w:val="21"/>
        </w:rPr>
        <w:t>（发包人名称，以下简称</w:t>
      </w:r>
      <w:r>
        <w:rPr>
          <w:szCs w:val="21"/>
        </w:rPr>
        <w:t>“</w:t>
      </w:r>
      <w:r>
        <w:rPr>
          <w:rFonts w:hint="eastAsia"/>
          <w:szCs w:val="21"/>
        </w:rPr>
        <w:t>发包人</w:t>
      </w:r>
      <w:r>
        <w:rPr>
          <w:szCs w:val="21"/>
        </w:rPr>
        <w:t>”</w:t>
      </w:r>
      <w:r>
        <w:rPr>
          <w:rFonts w:hint="eastAsia"/>
          <w:szCs w:val="21"/>
        </w:rPr>
        <w:t>）接受</w:t>
      </w:r>
      <w:r>
        <w:rPr>
          <w:szCs w:val="21"/>
          <w:u w:val="single"/>
        </w:rPr>
        <w:t xml:space="preserve">             </w:t>
      </w:r>
      <w:r>
        <w:rPr>
          <w:szCs w:val="21"/>
        </w:rPr>
        <w:t xml:space="preserve"> </w:t>
      </w:r>
      <w:r>
        <w:rPr>
          <w:rFonts w:hint="eastAsia"/>
          <w:szCs w:val="21"/>
        </w:rPr>
        <w:t>（承包人名称）（以下称</w:t>
      </w:r>
      <w:r>
        <w:rPr>
          <w:szCs w:val="21"/>
        </w:rPr>
        <w:t>“</w:t>
      </w:r>
      <w:r>
        <w:rPr>
          <w:rFonts w:hint="eastAsia"/>
          <w:szCs w:val="21"/>
        </w:rPr>
        <w:t>承包人</w:t>
      </w:r>
      <w:r>
        <w:rPr>
          <w:szCs w:val="21"/>
        </w:rPr>
        <w:t>”</w:t>
      </w:r>
      <w:r>
        <w:rPr>
          <w:rFonts w:hint="eastAsia"/>
          <w:szCs w:val="21"/>
        </w:rPr>
        <w:t>）于</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日参加</w:t>
      </w:r>
      <w:r>
        <w:rPr>
          <w:szCs w:val="21"/>
          <w:u w:val="single"/>
        </w:rPr>
        <w:t xml:space="preserve">           </w:t>
      </w:r>
      <w:r>
        <w:rPr>
          <w:szCs w:val="21"/>
        </w:rPr>
        <w:t xml:space="preserve"> </w:t>
      </w:r>
      <w:r>
        <w:rPr>
          <w:rFonts w:hint="eastAsia"/>
          <w:szCs w:val="21"/>
        </w:rPr>
        <w:t>（项目名称）</w:t>
      </w:r>
      <w:r>
        <w:rPr>
          <w:szCs w:val="21"/>
          <w:u w:val="single"/>
        </w:rPr>
        <w:t xml:space="preserve">     </w:t>
      </w:r>
      <w:r>
        <w:rPr>
          <w:rFonts w:hint="eastAsia"/>
          <w:szCs w:val="21"/>
        </w:rPr>
        <w:t>标段施工的</w:t>
      </w:r>
      <w:r>
        <w:rPr>
          <w:rFonts w:hint="eastAsia"/>
          <w:szCs w:val="21"/>
          <w:lang w:eastAsia="zh-CN"/>
        </w:rPr>
        <w:t>竞包</w:t>
      </w:r>
      <w:r>
        <w:rPr>
          <w:rFonts w:hint="eastAsia"/>
          <w:szCs w:val="21"/>
        </w:rPr>
        <w:t>。我方愿意无条件地、不可撤销地就承包人履行与你方订立的合同，向你方提供担保。</w:t>
      </w:r>
    </w:p>
    <w:p w14:paraId="489E736F">
      <w:pPr>
        <w:tabs>
          <w:tab w:val="left" w:pos="2790"/>
        </w:tabs>
        <w:spacing w:line="360" w:lineRule="auto"/>
        <w:ind w:firstLine="420" w:firstLineChars="200"/>
        <w:rPr>
          <w:szCs w:val="21"/>
        </w:rPr>
      </w:pPr>
      <w:r>
        <w:rPr>
          <w:szCs w:val="21"/>
        </w:rPr>
        <w:t>1.</w:t>
      </w:r>
      <w:r>
        <w:rPr>
          <w:rFonts w:hint="eastAsia"/>
          <w:szCs w:val="21"/>
        </w:rPr>
        <w:t>担保金额人民币（大写）</w:t>
      </w:r>
      <w:r>
        <w:rPr>
          <w:szCs w:val="21"/>
          <w:u w:val="single"/>
        </w:rPr>
        <w:t xml:space="preserve">           </w:t>
      </w:r>
      <w:r>
        <w:rPr>
          <w:rFonts w:hint="eastAsia"/>
          <w:szCs w:val="21"/>
        </w:rPr>
        <w:t>元（￥</w:t>
      </w:r>
      <w:r>
        <w:rPr>
          <w:szCs w:val="21"/>
          <w:u w:val="single"/>
        </w:rPr>
        <w:t xml:space="preserve">           </w:t>
      </w:r>
      <w:r>
        <w:rPr>
          <w:rFonts w:hint="eastAsia"/>
          <w:szCs w:val="21"/>
        </w:rPr>
        <w:t>）。</w:t>
      </w:r>
    </w:p>
    <w:p w14:paraId="7D088C46">
      <w:pPr>
        <w:tabs>
          <w:tab w:val="left" w:pos="2790"/>
        </w:tabs>
        <w:spacing w:line="360" w:lineRule="auto"/>
        <w:ind w:firstLine="420" w:firstLineChars="200"/>
        <w:rPr>
          <w:szCs w:val="21"/>
        </w:rPr>
      </w:pPr>
      <w:r>
        <w:rPr>
          <w:szCs w:val="21"/>
        </w:rPr>
        <w:t>2.</w:t>
      </w:r>
      <w:r>
        <w:rPr>
          <w:rFonts w:hint="eastAsia"/>
          <w:szCs w:val="21"/>
        </w:rPr>
        <w:t>担保有效期自发包人与承包人签订的合同生效之日起至发包人签发交工验收证书且承包人按照合同约定缴纳质量保证金之日止。</w:t>
      </w:r>
      <w:r>
        <w:rPr>
          <w:rStyle w:val="80"/>
          <w:szCs w:val="21"/>
          <w:vertAlign w:val="superscript"/>
        </w:rPr>
        <w:footnoteReference w:id="30"/>
      </w:r>
    </w:p>
    <w:p w14:paraId="294A33FE">
      <w:pPr>
        <w:tabs>
          <w:tab w:val="left" w:pos="2790"/>
        </w:tabs>
        <w:spacing w:line="360" w:lineRule="auto"/>
        <w:ind w:firstLine="420" w:firstLineChars="200"/>
        <w:rPr>
          <w:szCs w:val="21"/>
        </w:rPr>
      </w:pPr>
      <w:r>
        <w:rPr>
          <w:szCs w:val="21"/>
        </w:rPr>
        <w:t>3.</w:t>
      </w:r>
      <w:r>
        <w:rPr>
          <w:rFonts w:hint="eastAsia"/>
          <w:szCs w:val="21"/>
        </w:rPr>
        <w:t>在本担保有效期内，因承包人违反合同约定的义务给你方造成经济损失时，我方在收到你方以书面形式提出的在担保金额内的赔偿要求后，在</w:t>
      </w:r>
      <w:r>
        <w:rPr>
          <w:szCs w:val="21"/>
        </w:rPr>
        <w:t>7</w:t>
      </w:r>
      <w:r>
        <w:rPr>
          <w:rFonts w:hint="eastAsia"/>
          <w:szCs w:val="21"/>
        </w:rPr>
        <w:t>天内无条件支付，无须你方出具证明或陈述理由。</w:t>
      </w:r>
    </w:p>
    <w:p w14:paraId="1F07833E">
      <w:pPr>
        <w:tabs>
          <w:tab w:val="left" w:pos="2790"/>
        </w:tabs>
        <w:spacing w:line="360" w:lineRule="auto"/>
        <w:ind w:firstLine="420" w:firstLineChars="200"/>
        <w:rPr>
          <w:szCs w:val="21"/>
        </w:rPr>
      </w:pPr>
      <w:r>
        <w:rPr>
          <w:szCs w:val="21"/>
        </w:rPr>
        <w:t>4.</w:t>
      </w:r>
      <w:r>
        <w:rPr>
          <w:rFonts w:hint="eastAsia"/>
          <w:szCs w:val="21"/>
        </w:rPr>
        <w:t>发包人和承包人按合同条款第</w:t>
      </w:r>
      <w:r>
        <w:rPr>
          <w:szCs w:val="21"/>
        </w:rPr>
        <w:t>15</w:t>
      </w:r>
      <w:r>
        <w:rPr>
          <w:rFonts w:hint="eastAsia"/>
          <w:szCs w:val="21"/>
        </w:rPr>
        <w:t>条变更合同时，无论我方是否收到该变更，我方承担本担保规定的义务不变。</w:t>
      </w:r>
    </w:p>
    <w:p w14:paraId="0BC5BBEF">
      <w:pPr>
        <w:tabs>
          <w:tab w:val="left" w:pos="2790"/>
        </w:tabs>
        <w:spacing w:line="360" w:lineRule="auto"/>
        <w:rPr>
          <w:szCs w:val="21"/>
        </w:rPr>
      </w:pPr>
    </w:p>
    <w:p w14:paraId="01CEF146">
      <w:pPr>
        <w:tabs>
          <w:tab w:val="left" w:pos="2790"/>
        </w:tabs>
        <w:spacing w:line="360" w:lineRule="auto"/>
        <w:ind w:firstLine="3675" w:firstLineChars="1750"/>
        <w:rPr>
          <w:szCs w:val="21"/>
        </w:rPr>
      </w:pPr>
      <w:r>
        <w:rPr>
          <w:rFonts w:hint="eastAsia"/>
          <w:szCs w:val="21"/>
        </w:rPr>
        <w:t>担</w:t>
      </w:r>
      <w:r>
        <w:rPr>
          <w:szCs w:val="21"/>
        </w:rPr>
        <w:t xml:space="preserve"> </w:t>
      </w:r>
      <w:r>
        <w:rPr>
          <w:rFonts w:hint="eastAsia"/>
          <w:szCs w:val="21"/>
        </w:rPr>
        <w:t>保</w:t>
      </w:r>
      <w:r>
        <w:rPr>
          <w:szCs w:val="21"/>
        </w:rPr>
        <w:t xml:space="preserve"> </w:t>
      </w:r>
      <w:r>
        <w:rPr>
          <w:rFonts w:hint="eastAsia"/>
          <w:szCs w:val="21"/>
        </w:rPr>
        <w:t>人：</w:t>
      </w:r>
      <w:r>
        <w:rPr>
          <w:szCs w:val="21"/>
          <w:u w:val="single"/>
        </w:rPr>
        <w:t xml:space="preserve">                     </w:t>
      </w:r>
      <w:r>
        <w:rPr>
          <w:rFonts w:hint="eastAsia"/>
          <w:szCs w:val="21"/>
        </w:rPr>
        <w:t>（盖单位章）</w:t>
      </w:r>
    </w:p>
    <w:p w14:paraId="25AAD230">
      <w:pPr>
        <w:tabs>
          <w:tab w:val="left" w:pos="2790"/>
        </w:tabs>
        <w:spacing w:line="360" w:lineRule="auto"/>
        <w:ind w:firstLine="3675" w:firstLineChars="1750"/>
        <w:rPr>
          <w:szCs w:val="21"/>
        </w:rPr>
      </w:pPr>
      <w:r>
        <w:rPr>
          <w:rFonts w:hint="eastAsia"/>
          <w:szCs w:val="21"/>
        </w:rPr>
        <w:t>法定代表人或其委托代理人：</w:t>
      </w:r>
      <w:r>
        <w:rPr>
          <w:szCs w:val="21"/>
          <w:u w:val="single"/>
        </w:rPr>
        <w:t xml:space="preserve">         </w:t>
      </w:r>
      <w:r>
        <w:rPr>
          <w:rFonts w:hint="eastAsia"/>
          <w:szCs w:val="21"/>
        </w:rPr>
        <w:t>（签字）</w:t>
      </w:r>
    </w:p>
    <w:p w14:paraId="4B9DFF26">
      <w:pPr>
        <w:tabs>
          <w:tab w:val="left" w:pos="2790"/>
        </w:tabs>
        <w:spacing w:line="360" w:lineRule="auto"/>
        <w:ind w:firstLine="3675" w:firstLineChars="1750"/>
        <w:rPr>
          <w:szCs w:val="21"/>
        </w:rPr>
      </w:pPr>
      <w:r>
        <w:rPr>
          <w:rFonts w:hint="eastAsia"/>
          <w:szCs w:val="21"/>
        </w:rPr>
        <w:t>地</w:t>
      </w:r>
      <w:r>
        <w:rPr>
          <w:szCs w:val="21"/>
        </w:rPr>
        <w:t xml:space="preserve">    </w:t>
      </w:r>
      <w:r>
        <w:rPr>
          <w:rFonts w:hint="eastAsia"/>
          <w:szCs w:val="21"/>
        </w:rPr>
        <w:t>址：</w:t>
      </w:r>
      <w:r>
        <w:rPr>
          <w:szCs w:val="21"/>
          <w:u w:val="single"/>
        </w:rPr>
        <w:t xml:space="preserve">                               </w:t>
      </w:r>
    </w:p>
    <w:p w14:paraId="0D40BC46">
      <w:pPr>
        <w:tabs>
          <w:tab w:val="left" w:pos="2790"/>
        </w:tabs>
        <w:spacing w:line="360" w:lineRule="auto"/>
        <w:ind w:firstLine="3675" w:firstLineChars="1750"/>
        <w:rPr>
          <w:szCs w:val="21"/>
        </w:rPr>
      </w:pPr>
      <w:r>
        <w:rPr>
          <w:rFonts w:hint="eastAsia"/>
          <w:szCs w:val="21"/>
        </w:rPr>
        <w:t>邮政编码：</w:t>
      </w:r>
      <w:r>
        <w:rPr>
          <w:szCs w:val="21"/>
          <w:u w:val="single"/>
        </w:rPr>
        <w:t xml:space="preserve">                               </w:t>
      </w:r>
    </w:p>
    <w:p w14:paraId="258382BC">
      <w:pPr>
        <w:tabs>
          <w:tab w:val="left" w:pos="2790"/>
        </w:tabs>
        <w:spacing w:line="360" w:lineRule="auto"/>
        <w:ind w:firstLine="3675" w:firstLineChars="1750"/>
        <w:rPr>
          <w:szCs w:val="21"/>
        </w:rPr>
      </w:pPr>
      <w:r>
        <w:rPr>
          <w:rFonts w:hint="eastAsia"/>
          <w:szCs w:val="21"/>
        </w:rPr>
        <w:t>电</w:t>
      </w:r>
      <w:r>
        <w:rPr>
          <w:szCs w:val="21"/>
        </w:rPr>
        <w:t xml:space="preserve">    </w:t>
      </w:r>
      <w:r>
        <w:rPr>
          <w:rFonts w:hint="eastAsia"/>
          <w:szCs w:val="21"/>
        </w:rPr>
        <w:t>话：</w:t>
      </w:r>
      <w:r>
        <w:rPr>
          <w:szCs w:val="21"/>
          <w:u w:val="single"/>
        </w:rPr>
        <w:t xml:space="preserve">                               </w:t>
      </w:r>
    </w:p>
    <w:p w14:paraId="5E86EAFE">
      <w:pPr>
        <w:tabs>
          <w:tab w:val="left" w:pos="2790"/>
        </w:tabs>
        <w:spacing w:line="360" w:lineRule="auto"/>
        <w:ind w:firstLine="3675" w:firstLineChars="1750"/>
        <w:rPr>
          <w:szCs w:val="21"/>
        </w:rPr>
      </w:pPr>
      <w:r>
        <w:rPr>
          <w:rFonts w:hint="eastAsia"/>
          <w:szCs w:val="21"/>
        </w:rPr>
        <w:t>传</w:t>
      </w:r>
      <w:r>
        <w:rPr>
          <w:szCs w:val="21"/>
        </w:rPr>
        <w:t xml:space="preserve">    </w:t>
      </w:r>
      <w:r>
        <w:rPr>
          <w:rFonts w:hint="eastAsia"/>
          <w:szCs w:val="21"/>
        </w:rPr>
        <w:t>真：</w:t>
      </w:r>
      <w:r>
        <w:rPr>
          <w:szCs w:val="21"/>
          <w:u w:val="single"/>
        </w:rPr>
        <w:t xml:space="preserve">                               </w:t>
      </w:r>
    </w:p>
    <w:p w14:paraId="2F32FA7A">
      <w:pPr>
        <w:tabs>
          <w:tab w:val="left" w:pos="2790"/>
        </w:tabs>
        <w:spacing w:line="360" w:lineRule="auto"/>
        <w:ind w:firstLine="5985" w:firstLineChars="285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07826D4">
      <w:pPr>
        <w:tabs>
          <w:tab w:val="left" w:pos="2790"/>
        </w:tabs>
        <w:spacing w:line="360" w:lineRule="auto"/>
        <w:outlineLvl w:val="2"/>
        <w:rPr>
          <w:sz w:val="28"/>
          <w:szCs w:val="28"/>
        </w:rPr>
      </w:pPr>
      <w:r>
        <w:rPr>
          <w:sz w:val="24"/>
        </w:rPr>
        <w:br w:type="page"/>
      </w:r>
      <w:bookmarkStart w:id="363" w:name="_Toc1908"/>
      <w:bookmarkStart w:id="364" w:name="_Toc154675145"/>
      <w:r>
        <w:rPr>
          <w:rFonts w:hint="eastAsia"/>
          <w:sz w:val="28"/>
          <w:szCs w:val="28"/>
        </w:rPr>
        <w:t>附件八</w:t>
      </w:r>
      <w:r>
        <w:rPr>
          <w:sz w:val="28"/>
          <w:szCs w:val="28"/>
        </w:rPr>
        <w:t xml:space="preserve">  </w:t>
      </w:r>
      <w:r>
        <w:rPr>
          <w:rFonts w:hint="eastAsia"/>
          <w:sz w:val="28"/>
          <w:szCs w:val="28"/>
        </w:rPr>
        <w:t>发包人支付担保格式</w:t>
      </w:r>
      <w:bookmarkEnd w:id="363"/>
      <w:bookmarkEnd w:id="364"/>
    </w:p>
    <w:p w14:paraId="68514716">
      <w:pPr>
        <w:tabs>
          <w:tab w:val="left" w:pos="2790"/>
        </w:tabs>
        <w:spacing w:line="360" w:lineRule="auto"/>
        <w:jc w:val="center"/>
        <w:rPr>
          <w:rFonts w:eastAsia="黑体"/>
          <w:sz w:val="28"/>
          <w:szCs w:val="28"/>
        </w:rPr>
      </w:pPr>
      <w:r>
        <w:rPr>
          <w:rFonts w:hint="eastAsia" w:eastAsia="黑体"/>
          <w:sz w:val="28"/>
          <w:szCs w:val="28"/>
        </w:rPr>
        <w:t>发包人支付担保</w:t>
      </w:r>
    </w:p>
    <w:p w14:paraId="4115C5D8">
      <w:pPr>
        <w:tabs>
          <w:tab w:val="left" w:pos="2790"/>
        </w:tabs>
        <w:spacing w:line="360" w:lineRule="auto"/>
        <w:rPr>
          <w:szCs w:val="21"/>
        </w:rPr>
      </w:pPr>
    </w:p>
    <w:p w14:paraId="713A7AC0">
      <w:pPr>
        <w:tabs>
          <w:tab w:val="left" w:pos="2790"/>
        </w:tabs>
        <w:spacing w:line="360" w:lineRule="auto"/>
        <w:rPr>
          <w:szCs w:val="21"/>
        </w:rPr>
      </w:pPr>
      <w:r>
        <w:rPr>
          <w:szCs w:val="21"/>
          <w:u w:val="single"/>
        </w:rPr>
        <w:t xml:space="preserve">              </w:t>
      </w:r>
      <w:r>
        <w:rPr>
          <w:szCs w:val="21"/>
        </w:rPr>
        <w:t xml:space="preserve"> </w:t>
      </w:r>
      <w:r>
        <w:rPr>
          <w:rFonts w:hint="eastAsia"/>
          <w:szCs w:val="21"/>
        </w:rPr>
        <w:t>（承包人名称）：</w:t>
      </w:r>
    </w:p>
    <w:p w14:paraId="22B8EB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鉴于你方作为承包人已经与</w:t>
      </w:r>
      <w:r>
        <w:t>_____________________</w:t>
      </w:r>
      <w:r>
        <w:rPr>
          <w:rFonts w:hint="eastAsia"/>
        </w:rPr>
        <w:t>（发包人名称）（以下称</w:t>
      </w:r>
      <w:r>
        <w:t>“</w:t>
      </w:r>
      <w:r>
        <w:rPr>
          <w:rFonts w:hint="eastAsia"/>
        </w:rPr>
        <w:t>发包人</w:t>
      </w:r>
      <w:r>
        <w:t>”</w:t>
      </w:r>
      <w:r>
        <w:rPr>
          <w:rFonts w:hint="eastAsia"/>
        </w:rPr>
        <w:t>）于</w:t>
      </w:r>
      <w:r>
        <w:t>________</w:t>
      </w:r>
      <w:r>
        <w:rPr>
          <w:rFonts w:hint="eastAsia"/>
        </w:rPr>
        <w:t>年</w:t>
      </w:r>
      <w:r>
        <w:t>____</w:t>
      </w:r>
      <w:r>
        <w:rPr>
          <w:rFonts w:hint="eastAsia"/>
        </w:rPr>
        <w:t>月</w:t>
      </w:r>
      <w:r>
        <w:t>____</w:t>
      </w:r>
      <w:r>
        <w:rPr>
          <w:rFonts w:hint="eastAsia"/>
        </w:rPr>
        <w:t>日签订了</w:t>
      </w:r>
      <w:r>
        <w:t>_____________________</w:t>
      </w:r>
      <w:r>
        <w:rPr>
          <w:rFonts w:hint="eastAsia"/>
        </w:rPr>
        <w:t>（工程名称）施工合同（以下称</w:t>
      </w:r>
      <w:r>
        <w:t>“</w:t>
      </w:r>
      <w:r>
        <w:rPr>
          <w:rFonts w:hint="eastAsia"/>
        </w:rPr>
        <w:t>主合同</w:t>
      </w:r>
      <w:r>
        <w:t>”</w:t>
      </w:r>
      <w:r>
        <w:rPr>
          <w:rFonts w:hint="eastAsia"/>
        </w:rPr>
        <w:t>），应发包人的申请，我方愿就发包人履行主合同约定的工程款支付义务以保证的方式向你方提供如下担保：</w:t>
      </w:r>
    </w:p>
    <w:p w14:paraId="4D3B6158">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一、保证的范围及保证金额</w:t>
      </w:r>
    </w:p>
    <w:p w14:paraId="2DC42818">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我方的保证范围是主合同约定的工程款。</w:t>
      </w:r>
    </w:p>
    <w:p w14:paraId="13C8EEDB">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本保函所称主合同约定的工程款是指主合同约定的除工程质量保证金以外的合同价款。</w:t>
      </w:r>
    </w:p>
    <w:p w14:paraId="77E14C90">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我方保证的金额是主合同约定的工程款的</w:t>
      </w:r>
      <w:r>
        <w:t>___ %</w:t>
      </w:r>
      <w:r>
        <w:rPr>
          <w:rFonts w:hint="eastAsia"/>
        </w:rPr>
        <w:t>，数额最高不超过人民币元（大写：</w:t>
      </w:r>
      <w:r>
        <w:t>_________</w:t>
      </w:r>
      <w:r>
        <w:rPr>
          <w:rFonts w:hint="eastAsia"/>
        </w:rPr>
        <w:t>）。</w:t>
      </w:r>
    </w:p>
    <w:p w14:paraId="03EE64E9">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二、保证的方式及保证期间</w:t>
      </w:r>
    </w:p>
    <w:p w14:paraId="03289BD0">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我方保证的方式为：连带责任保证。</w:t>
      </w:r>
    </w:p>
    <w:p w14:paraId="244AE156">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我方保证的期间为：自本合同生效之日起至主合同约定的工程款支付之日后</w:t>
      </w:r>
      <w:r>
        <w:t>____</w:t>
      </w:r>
      <w:r>
        <w:rPr>
          <w:rFonts w:hint="eastAsia"/>
        </w:rPr>
        <w:t>日内。</w:t>
      </w:r>
    </w:p>
    <w:p w14:paraId="02CBA20A">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你方与发包人协议变更工程款支付日期的，经我方书面同意后，保证期间按照变更后的支付日期做相应调整。</w:t>
      </w:r>
    </w:p>
    <w:p w14:paraId="437159E3">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三、承担保证责任的形式</w:t>
      </w:r>
    </w:p>
    <w:p w14:paraId="3BE710E6">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我方承担保证责任的形式是代为支付。发包人未按主合同约定向你方支付工程款的，由我方在保证金额内代为支付。</w:t>
      </w:r>
    </w:p>
    <w:p w14:paraId="569F62A8">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四、代偿的安排</w:t>
      </w:r>
    </w:p>
    <w:p w14:paraId="72F578EF">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你方要求我方承担保证责任的，应向我方发出书面索赔通知及发包人未支付主合同约定工程款的证明材料。索赔通知应写明要求索赔的金额，支付款项应到达的账号。</w:t>
      </w:r>
    </w:p>
    <w:p w14:paraId="33B702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r>
        <w:rPr>
          <w:rFonts w:hint="eastAsia"/>
        </w:rPr>
        <w:t>在出现你方与发包人因工程质量发生争议，发包人拒绝向你方支付工程款的情形时，你方要求我方履行保证责任代为支付的，还需提供项目监理人或符合相应条件要求的工程质量检测机构出具的质量说明材料。</w:t>
      </w:r>
    </w:p>
    <w:p w14:paraId="7B639AF9">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我方收到你方的书面索赔通知及相应证明材料后，在</w:t>
      </w:r>
      <w:r>
        <w:t>7</w:t>
      </w:r>
      <w:r>
        <w:rPr>
          <w:rFonts w:hint="eastAsia"/>
        </w:rPr>
        <w:t>个工作日内进行核定后按照本保函的承诺承担保证责任。</w:t>
      </w:r>
    </w:p>
    <w:p w14:paraId="24F67A28">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五、保证责任的解除</w:t>
      </w:r>
    </w:p>
    <w:p w14:paraId="73EF01E4">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1</w:t>
      </w:r>
      <w:r>
        <w:rPr>
          <w:rFonts w:hint="eastAsia"/>
        </w:rPr>
        <w:t>．在本保函承诺的保证期间内，你方未书面向我方主张保证责任的，自保证期间届满次日起，我方保证责任解除。</w:t>
      </w:r>
    </w:p>
    <w:p w14:paraId="442CEE87">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2</w:t>
      </w:r>
      <w:r>
        <w:rPr>
          <w:rFonts w:hint="eastAsia"/>
        </w:rPr>
        <w:t>．发包人按主合同约定履行了工程款的全部支付义务的，自本保函承诺的保证期间届满次日起，我方保证责任解除。</w:t>
      </w:r>
    </w:p>
    <w:p w14:paraId="40F5EE4B">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3</w:t>
      </w:r>
      <w:r>
        <w:rPr>
          <w:rFonts w:hint="eastAsia"/>
        </w:rPr>
        <w:t>．我方按照本保函向你方履行保证责任所支付金额达到本保函保证金额时，</w:t>
      </w:r>
      <w:r>
        <w:t xml:space="preserve"> </w:t>
      </w:r>
      <w:r>
        <w:rPr>
          <w:rFonts w:hint="eastAsia"/>
        </w:rPr>
        <w:t>自我方向你方支付（支付款项从我方账户划出）之日起，保证责任即解除。</w:t>
      </w:r>
    </w:p>
    <w:p w14:paraId="6941C5CD">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4</w:t>
      </w:r>
      <w:r>
        <w:rPr>
          <w:rFonts w:hint="eastAsia"/>
        </w:rPr>
        <w:t>．按照法律法规的规定或出现应解除我方保证责任的其他情形的</w:t>
      </w:r>
      <w:r>
        <w:rPr>
          <w:rFonts w:hint="eastAsia" w:ascii="宋体" w:hAnsi="宋体" w:cs="宋体"/>
        </w:rPr>
        <w:t>，</w:t>
      </w:r>
      <w:r>
        <w:rPr>
          <w:rFonts w:hint="eastAsia"/>
        </w:rPr>
        <w:t>我方在本保函项下的保证责任亦解除。</w:t>
      </w:r>
    </w:p>
    <w:p w14:paraId="453CDC49">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我方解除保证责任后，你方应自我方保证责任解除之日起</w:t>
      </w:r>
      <w:r>
        <w:t>____</w:t>
      </w:r>
      <w:r>
        <w:rPr>
          <w:rFonts w:hint="eastAsia"/>
        </w:rPr>
        <w:t>个工作日内将本保函原件返还我方。</w:t>
      </w:r>
    </w:p>
    <w:p w14:paraId="0910FD79">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六、免责条款</w:t>
      </w:r>
    </w:p>
    <w:p w14:paraId="64CF5E43">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1</w:t>
      </w:r>
      <w:r>
        <w:rPr>
          <w:rFonts w:hint="eastAsia"/>
        </w:rPr>
        <w:t>．因你方违约致使发包人不能履行义务的，我方不承担保证责任。</w:t>
      </w:r>
    </w:p>
    <w:p w14:paraId="21DA1272">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2</w:t>
      </w:r>
      <w:r>
        <w:rPr>
          <w:rFonts w:hint="eastAsia"/>
        </w:rPr>
        <w:t>．依照法律法规的规定或你方与发包人的另行约定，免除发包人部分或全部义务的，我方亦免除其相应的保证责任。</w:t>
      </w:r>
    </w:p>
    <w:p w14:paraId="4B023415">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3</w:t>
      </w:r>
      <w:r>
        <w:rPr>
          <w:rFonts w:hint="eastAsia"/>
        </w:rPr>
        <w:t>．你方与发包人协议变更主合同的（符合主合同合同条款笫</w:t>
      </w:r>
      <w:r>
        <w:t>15</w:t>
      </w:r>
      <w:r>
        <w:rPr>
          <w:rFonts w:hint="eastAsia"/>
        </w:rPr>
        <w:t>条约定的变更除外），如加重发包人责任致使我方保证责任加重的，需征得我方书面同意，否则我方不再承担因此而加重部分的保证责任。</w:t>
      </w:r>
    </w:p>
    <w:p w14:paraId="4B670B26">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4</w:t>
      </w:r>
      <w:r>
        <w:rPr>
          <w:rFonts w:hint="eastAsia"/>
        </w:rPr>
        <w:t>．因不可抗力造成发包人不能履行义务的，我方不承担保证责任。</w:t>
      </w:r>
    </w:p>
    <w:p w14:paraId="1394746E">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七、争议的解决</w:t>
      </w:r>
    </w:p>
    <w:p w14:paraId="046B452D">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因本保函发生的纠纷，由贵我双方协商解决，协商不成的，任何一方均可提请</w:t>
      </w:r>
      <w:r>
        <w:t>______</w:t>
      </w:r>
      <w:r>
        <w:rPr>
          <w:rFonts w:hint="eastAsia"/>
        </w:rPr>
        <w:t>仲裁委员会仲裁</w:t>
      </w:r>
      <w:r>
        <w:rPr>
          <w:rFonts w:hint="eastAsia"/>
          <w:lang w:val="en-US" w:eastAsia="zh-CN"/>
        </w:rPr>
        <w:t>或项目所在地人民</w:t>
      </w:r>
      <w:r>
        <w:rPr>
          <w:rFonts w:hint="eastAsia"/>
          <w:u w:val="none"/>
          <w:lang w:val="en-US" w:eastAsia="zh-CN"/>
        </w:rPr>
        <w:t>法院判决</w:t>
      </w:r>
      <w:r>
        <w:rPr>
          <w:rFonts w:hint="eastAsia"/>
        </w:rPr>
        <w:t>。</w:t>
      </w:r>
    </w:p>
    <w:p w14:paraId="409C28E8">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八、保函的生效</w:t>
      </w:r>
    </w:p>
    <w:p w14:paraId="7197323A">
      <w:pPr>
        <w:keepNext w:val="0"/>
        <w:keepLines w:val="0"/>
        <w:pageBreakBefore w:val="0"/>
        <w:widowControl w:val="0"/>
        <w:kinsoku/>
        <w:wordWrap/>
        <w:overflowPunct/>
        <w:topLinePunct w:val="0"/>
        <w:autoSpaceDE/>
        <w:autoSpaceDN/>
        <w:bidi w:val="0"/>
        <w:adjustRightInd/>
        <w:snapToGrid/>
        <w:spacing w:line="400" w:lineRule="exact"/>
        <w:textAlignment w:val="auto"/>
      </w:pPr>
      <w:r>
        <w:t xml:space="preserve">    </w:t>
      </w:r>
      <w:r>
        <w:rPr>
          <w:rFonts w:hint="eastAsia"/>
        </w:rPr>
        <w:t>本保函自我方法定代表人（或其授权代理人）签字、加盖单位公章并交付你方之日起生效。</w:t>
      </w:r>
    </w:p>
    <w:p w14:paraId="68DE867C">
      <w:pPr>
        <w:tabs>
          <w:tab w:val="left" w:pos="2790"/>
        </w:tabs>
        <w:spacing w:line="360" w:lineRule="auto"/>
        <w:ind w:firstLine="3675" w:firstLineChars="1750"/>
        <w:rPr>
          <w:szCs w:val="21"/>
        </w:rPr>
      </w:pPr>
    </w:p>
    <w:p w14:paraId="1705167B">
      <w:pPr>
        <w:tabs>
          <w:tab w:val="left" w:pos="2790"/>
        </w:tabs>
        <w:spacing w:line="360" w:lineRule="auto"/>
        <w:ind w:firstLine="3675" w:firstLineChars="1750"/>
        <w:rPr>
          <w:szCs w:val="21"/>
        </w:rPr>
      </w:pPr>
      <w:r>
        <w:rPr>
          <w:rFonts w:hint="eastAsia"/>
          <w:szCs w:val="21"/>
        </w:rPr>
        <w:t>担</w:t>
      </w:r>
      <w:r>
        <w:rPr>
          <w:szCs w:val="21"/>
        </w:rPr>
        <w:t xml:space="preserve"> </w:t>
      </w:r>
      <w:r>
        <w:rPr>
          <w:rFonts w:hint="eastAsia"/>
          <w:szCs w:val="21"/>
        </w:rPr>
        <w:t>保</w:t>
      </w:r>
      <w:r>
        <w:rPr>
          <w:szCs w:val="21"/>
        </w:rPr>
        <w:t xml:space="preserve"> </w:t>
      </w:r>
      <w:r>
        <w:rPr>
          <w:rFonts w:hint="eastAsia"/>
          <w:szCs w:val="21"/>
        </w:rPr>
        <w:t>人：</w:t>
      </w:r>
      <w:r>
        <w:rPr>
          <w:szCs w:val="21"/>
          <w:u w:val="single"/>
        </w:rPr>
        <w:t xml:space="preserve">                     </w:t>
      </w:r>
      <w:r>
        <w:rPr>
          <w:rFonts w:hint="eastAsia"/>
          <w:szCs w:val="21"/>
        </w:rPr>
        <w:t>（盖单位章）</w:t>
      </w:r>
    </w:p>
    <w:p w14:paraId="5A0EEBF2">
      <w:pPr>
        <w:tabs>
          <w:tab w:val="left" w:pos="2790"/>
        </w:tabs>
        <w:spacing w:line="360" w:lineRule="auto"/>
        <w:ind w:firstLine="3675" w:firstLineChars="1750"/>
        <w:rPr>
          <w:szCs w:val="21"/>
        </w:rPr>
      </w:pPr>
      <w:r>
        <w:rPr>
          <w:rFonts w:hint="eastAsia"/>
          <w:szCs w:val="21"/>
        </w:rPr>
        <w:t>法定代表人或其委托代理人：</w:t>
      </w:r>
      <w:r>
        <w:rPr>
          <w:szCs w:val="21"/>
          <w:u w:val="single"/>
        </w:rPr>
        <w:t xml:space="preserve">         </w:t>
      </w:r>
      <w:r>
        <w:rPr>
          <w:rFonts w:hint="eastAsia"/>
          <w:szCs w:val="21"/>
        </w:rPr>
        <w:t>（签字）</w:t>
      </w:r>
    </w:p>
    <w:p w14:paraId="36E369D2">
      <w:pPr>
        <w:tabs>
          <w:tab w:val="left" w:pos="2790"/>
        </w:tabs>
        <w:spacing w:line="360" w:lineRule="auto"/>
        <w:ind w:firstLine="3675" w:firstLineChars="1750"/>
        <w:rPr>
          <w:szCs w:val="21"/>
        </w:rPr>
      </w:pPr>
      <w:r>
        <w:rPr>
          <w:rFonts w:hint="eastAsia"/>
          <w:szCs w:val="21"/>
        </w:rPr>
        <w:t>地</w:t>
      </w:r>
      <w:r>
        <w:rPr>
          <w:szCs w:val="21"/>
        </w:rPr>
        <w:t xml:space="preserve">    </w:t>
      </w:r>
      <w:r>
        <w:rPr>
          <w:rFonts w:hint="eastAsia"/>
          <w:szCs w:val="21"/>
        </w:rPr>
        <w:t>址：</w:t>
      </w:r>
      <w:r>
        <w:rPr>
          <w:szCs w:val="21"/>
          <w:u w:val="single"/>
        </w:rPr>
        <w:t xml:space="preserve">                               </w:t>
      </w:r>
    </w:p>
    <w:p w14:paraId="07863284">
      <w:pPr>
        <w:tabs>
          <w:tab w:val="left" w:pos="2790"/>
        </w:tabs>
        <w:spacing w:line="360" w:lineRule="auto"/>
        <w:ind w:firstLine="3675" w:firstLineChars="1750"/>
        <w:rPr>
          <w:szCs w:val="21"/>
        </w:rPr>
      </w:pPr>
      <w:r>
        <w:rPr>
          <w:rFonts w:hint="eastAsia"/>
          <w:szCs w:val="21"/>
        </w:rPr>
        <w:t>邮政编码：</w:t>
      </w:r>
      <w:r>
        <w:rPr>
          <w:szCs w:val="21"/>
          <w:u w:val="single"/>
        </w:rPr>
        <w:t xml:space="preserve">                               </w:t>
      </w:r>
    </w:p>
    <w:p w14:paraId="1777CD50">
      <w:pPr>
        <w:tabs>
          <w:tab w:val="left" w:pos="2790"/>
        </w:tabs>
        <w:spacing w:line="360" w:lineRule="auto"/>
        <w:ind w:firstLine="3675" w:firstLineChars="1750"/>
        <w:rPr>
          <w:szCs w:val="21"/>
        </w:rPr>
      </w:pPr>
      <w:r>
        <w:rPr>
          <w:rFonts w:hint="eastAsia"/>
          <w:szCs w:val="21"/>
        </w:rPr>
        <w:t>电</w:t>
      </w:r>
      <w:r>
        <w:rPr>
          <w:szCs w:val="21"/>
        </w:rPr>
        <w:t xml:space="preserve">    </w:t>
      </w:r>
      <w:r>
        <w:rPr>
          <w:rFonts w:hint="eastAsia"/>
          <w:szCs w:val="21"/>
        </w:rPr>
        <w:t>话：</w:t>
      </w:r>
      <w:r>
        <w:rPr>
          <w:szCs w:val="21"/>
          <w:u w:val="single"/>
        </w:rPr>
        <w:t xml:space="preserve">                               </w:t>
      </w:r>
    </w:p>
    <w:p w14:paraId="37D6984B">
      <w:pPr>
        <w:tabs>
          <w:tab w:val="left" w:pos="2790"/>
        </w:tabs>
        <w:spacing w:line="360" w:lineRule="auto"/>
        <w:ind w:firstLine="3675" w:firstLineChars="1750"/>
        <w:rPr>
          <w:szCs w:val="21"/>
        </w:rPr>
      </w:pPr>
      <w:r>
        <w:rPr>
          <w:rFonts w:hint="eastAsia"/>
          <w:szCs w:val="21"/>
        </w:rPr>
        <w:t>传</w:t>
      </w:r>
      <w:r>
        <w:rPr>
          <w:szCs w:val="21"/>
        </w:rPr>
        <w:t xml:space="preserve">    </w:t>
      </w:r>
      <w:r>
        <w:rPr>
          <w:rFonts w:hint="eastAsia"/>
          <w:szCs w:val="21"/>
        </w:rPr>
        <w:t>真：</w:t>
      </w:r>
      <w:r>
        <w:rPr>
          <w:szCs w:val="21"/>
          <w:u w:val="single"/>
        </w:rPr>
        <w:t xml:space="preserve">                               </w:t>
      </w:r>
    </w:p>
    <w:p w14:paraId="61A1D0CA">
      <w:pPr>
        <w:tabs>
          <w:tab w:val="left" w:pos="2790"/>
        </w:tabs>
        <w:spacing w:line="360" w:lineRule="auto"/>
        <w:ind w:firstLine="5985" w:firstLineChars="285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17A5C3F2">
      <w:pPr>
        <w:tabs>
          <w:tab w:val="left" w:pos="2790"/>
        </w:tabs>
        <w:spacing w:line="360" w:lineRule="auto"/>
        <w:rPr>
          <w:szCs w:val="21"/>
        </w:rPr>
      </w:pPr>
    </w:p>
    <w:p w14:paraId="03FB23D5">
      <w:pPr>
        <w:tabs>
          <w:tab w:val="left" w:pos="2790"/>
        </w:tabs>
        <w:spacing w:line="360" w:lineRule="auto"/>
        <w:rPr>
          <w:szCs w:val="21"/>
        </w:rPr>
      </w:pPr>
      <w:r>
        <w:rPr>
          <w:rFonts w:hint="eastAsia"/>
          <w:szCs w:val="21"/>
        </w:rPr>
        <w:t>注：</w:t>
      </w:r>
      <w:r>
        <w:rPr>
          <w:rFonts w:hint="eastAsia"/>
        </w:rPr>
        <w:t>本支付担保格式可采用经承包人同意的其他格式，但相关约定应当与履约保证金对等。</w:t>
      </w:r>
    </w:p>
    <w:p w14:paraId="6B01C560">
      <w:pPr>
        <w:tabs>
          <w:tab w:val="left" w:pos="2790"/>
        </w:tabs>
        <w:spacing w:line="360" w:lineRule="auto"/>
        <w:outlineLvl w:val="2"/>
        <w:rPr>
          <w:sz w:val="28"/>
          <w:szCs w:val="28"/>
        </w:rPr>
      </w:pPr>
      <w:r>
        <w:rPr>
          <w:sz w:val="24"/>
        </w:rPr>
        <w:br w:type="page"/>
      </w:r>
      <w:bookmarkStart w:id="365" w:name="_Toc26814"/>
      <w:bookmarkStart w:id="366" w:name="_Toc154675146"/>
      <w:r>
        <w:rPr>
          <w:rFonts w:hint="eastAsia"/>
          <w:sz w:val="28"/>
          <w:szCs w:val="28"/>
        </w:rPr>
        <w:t>附件九</w:t>
      </w:r>
      <w:r>
        <w:rPr>
          <w:sz w:val="28"/>
          <w:szCs w:val="28"/>
        </w:rPr>
        <w:t xml:space="preserve">  </w:t>
      </w:r>
      <w:r>
        <w:rPr>
          <w:rFonts w:hint="eastAsia"/>
          <w:sz w:val="28"/>
          <w:szCs w:val="28"/>
        </w:rPr>
        <w:t>工程资金监管协议格式</w:t>
      </w:r>
      <w:bookmarkEnd w:id="365"/>
      <w:bookmarkEnd w:id="366"/>
    </w:p>
    <w:p w14:paraId="42F23D21">
      <w:pPr>
        <w:tabs>
          <w:tab w:val="left" w:pos="2790"/>
        </w:tabs>
        <w:spacing w:line="360" w:lineRule="auto"/>
        <w:ind w:firstLine="420" w:firstLineChars="200"/>
        <w:rPr>
          <w:szCs w:val="21"/>
        </w:rPr>
      </w:pPr>
      <w:r>
        <w:rPr>
          <w:rFonts w:hint="eastAsia"/>
          <w:szCs w:val="21"/>
        </w:rPr>
        <w:t>（</w:t>
      </w:r>
      <w:r>
        <w:rPr>
          <w:rFonts w:hint="eastAsia"/>
          <w:szCs w:val="21"/>
          <w:lang w:val="en-US" w:eastAsia="zh-CN"/>
        </w:rPr>
        <w:t>本协议由发包人确定是否适用本项目。如适用，</w:t>
      </w:r>
      <w:r>
        <w:rPr>
          <w:rFonts w:hint="eastAsia"/>
          <w:szCs w:val="21"/>
        </w:rPr>
        <w:t>发包人与承包人签订合同协议书时应与发包人指定的银行签署工程资金监管协议，工程资金监管协议内容在保证本项目资金有效监管的前提下由三方共同商定）</w:t>
      </w:r>
    </w:p>
    <w:p w14:paraId="41BC9CF9">
      <w:pPr>
        <w:tabs>
          <w:tab w:val="left" w:pos="2790"/>
        </w:tabs>
        <w:spacing w:line="360" w:lineRule="auto"/>
        <w:rPr>
          <w:szCs w:val="21"/>
        </w:rPr>
      </w:pPr>
    </w:p>
    <w:p w14:paraId="45EE2B75">
      <w:pPr>
        <w:tabs>
          <w:tab w:val="left" w:pos="2790"/>
        </w:tabs>
        <w:spacing w:line="360" w:lineRule="auto"/>
        <w:jc w:val="center"/>
        <w:rPr>
          <w:rFonts w:eastAsia="黑体"/>
          <w:sz w:val="30"/>
          <w:szCs w:val="30"/>
        </w:rPr>
      </w:pPr>
      <w:r>
        <w:rPr>
          <w:rFonts w:hint="eastAsia" w:eastAsia="黑体"/>
          <w:sz w:val="30"/>
          <w:szCs w:val="30"/>
        </w:rPr>
        <w:t>工程资金监管协议</w:t>
      </w:r>
    </w:p>
    <w:p w14:paraId="203A44FD">
      <w:pPr>
        <w:tabs>
          <w:tab w:val="left" w:pos="2790"/>
        </w:tabs>
        <w:spacing w:line="360" w:lineRule="auto"/>
        <w:rPr>
          <w:szCs w:val="21"/>
        </w:rPr>
      </w:pPr>
    </w:p>
    <w:p w14:paraId="1DFA6857">
      <w:pPr>
        <w:keepNext w:val="0"/>
        <w:keepLines w:val="0"/>
        <w:pageBreakBefore w:val="0"/>
        <w:widowControl w:val="0"/>
        <w:tabs>
          <w:tab w:val="left" w:pos="2790"/>
        </w:tabs>
        <w:kinsoku/>
        <w:wordWrap/>
        <w:overflowPunct/>
        <w:topLinePunct w:val="0"/>
        <w:autoSpaceDE/>
        <w:autoSpaceDN/>
        <w:bidi w:val="0"/>
        <w:adjustRightInd/>
        <w:snapToGrid/>
        <w:spacing w:line="360" w:lineRule="exact"/>
        <w:textAlignment w:val="auto"/>
        <w:rPr>
          <w:szCs w:val="21"/>
        </w:rPr>
      </w:pPr>
      <w:r>
        <w:rPr>
          <w:rFonts w:hint="eastAsia"/>
          <w:szCs w:val="21"/>
        </w:rPr>
        <w:t>发</w:t>
      </w:r>
      <w:r>
        <w:rPr>
          <w:szCs w:val="21"/>
        </w:rPr>
        <w:t xml:space="preserve"> </w:t>
      </w:r>
      <w:r>
        <w:rPr>
          <w:rFonts w:hint="eastAsia"/>
          <w:szCs w:val="21"/>
        </w:rPr>
        <w:t>包</w:t>
      </w:r>
      <w:r>
        <w:rPr>
          <w:szCs w:val="21"/>
        </w:rPr>
        <w:t xml:space="preserve"> </w:t>
      </w:r>
      <w:r>
        <w:rPr>
          <w:rFonts w:hint="eastAsia"/>
          <w:szCs w:val="21"/>
        </w:rPr>
        <w:t>人：</w:t>
      </w:r>
      <w:r>
        <w:rPr>
          <w:szCs w:val="21"/>
          <w:u w:val="single"/>
        </w:rPr>
        <w:t xml:space="preserve">              </w:t>
      </w:r>
      <w:r>
        <w:rPr>
          <w:rFonts w:hint="eastAsia"/>
          <w:szCs w:val="21"/>
        </w:rPr>
        <w:t>（以下简称</w:t>
      </w:r>
      <w:r>
        <w:rPr>
          <w:szCs w:val="21"/>
        </w:rPr>
        <w:t>“</w:t>
      </w:r>
      <w:r>
        <w:rPr>
          <w:rFonts w:hint="eastAsia"/>
          <w:szCs w:val="21"/>
        </w:rPr>
        <w:t>甲方</w:t>
      </w:r>
      <w:r>
        <w:rPr>
          <w:szCs w:val="21"/>
        </w:rPr>
        <w:t>”</w:t>
      </w:r>
      <w:r>
        <w:rPr>
          <w:rFonts w:hint="eastAsia"/>
          <w:szCs w:val="21"/>
        </w:rPr>
        <w:t>）</w:t>
      </w:r>
    </w:p>
    <w:p w14:paraId="11C20585">
      <w:pPr>
        <w:keepNext w:val="0"/>
        <w:keepLines w:val="0"/>
        <w:pageBreakBefore w:val="0"/>
        <w:widowControl w:val="0"/>
        <w:tabs>
          <w:tab w:val="left" w:pos="2790"/>
        </w:tabs>
        <w:kinsoku/>
        <w:wordWrap/>
        <w:overflowPunct/>
        <w:topLinePunct w:val="0"/>
        <w:autoSpaceDE/>
        <w:autoSpaceDN/>
        <w:bidi w:val="0"/>
        <w:adjustRightInd/>
        <w:snapToGrid/>
        <w:spacing w:line="360" w:lineRule="exact"/>
        <w:textAlignment w:val="auto"/>
        <w:rPr>
          <w:szCs w:val="21"/>
        </w:rPr>
      </w:pPr>
      <w:r>
        <w:rPr>
          <w:rFonts w:hint="eastAsia"/>
          <w:szCs w:val="21"/>
        </w:rPr>
        <w:t>承</w:t>
      </w:r>
      <w:r>
        <w:rPr>
          <w:szCs w:val="21"/>
        </w:rPr>
        <w:t xml:space="preserve"> </w:t>
      </w:r>
      <w:r>
        <w:rPr>
          <w:rFonts w:hint="eastAsia"/>
          <w:szCs w:val="21"/>
        </w:rPr>
        <w:t>包</w:t>
      </w:r>
      <w:r>
        <w:rPr>
          <w:szCs w:val="21"/>
        </w:rPr>
        <w:t xml:space="preserve"> </w:t>
      </w:r>
      <w:r>
        <w:rPr>
          <w:rFonts w:hint="eastAsia"/>
          <w:szCs w:val="21"/>
        </w:rPr>
        <w:t>人：</w:t>
      </w:r>
      <w:r>
        <w:rPr>
          <w:szCs w:val="21"/>
          <w:u w:val="single"/>
        </w:rPr>
        <w:t xml:space="preserve">              </w:t>
      </w:r>
      <w:r>
        <w:rPr>
          <w:rFonts w:hint="eastAsia"/>
          <w:szCs w:val="21"/>
        </w:rPr>
        <w:t>（以下简称</w:t>
      </w:r>
      <w:r>
        <w:rPr>
          <w:szCs w:val="21"/>
        </w:rPr>
        <w:t>“</w:t>
      </w:r>
      <w:r>
        <w:rPr>
          <w:rFonts w:hint="eastAsia"/>
          <w:szCs w:val="21"/>
        </w:rPr>
        <w:t>乙方</w:t>
      </w:r>
      <w:r>
        <w:rPr>
          <w:szCs w:val="21"/>
        </w:rPr>
        <w:t>”</w:t>
      </w:r>
      <w:r>
        <w:rPr>
          <w:rFonts w:hint="eastAsia"/>
          <w:szCs w:val="21"/>
        </w:rPr>
        <w:t>）</w:t>
      </w:r>
    </w:p>
    <w:p w14:paraId="1529632B">
      <w:pPr>
        <w:keepNext w:val="0"/>
        <w:keepLines w:val="0"/>
        <w:pageBreakBefore w:val="0"/>
        <w:widowControl w:val="0"/>
        <w:tabs>
          <w:tab w:val="left" w:pos="2790"/>
        </w:tabs>
        <w:kinsoku/>
        <w:wordWrap/>
        <w:overflowPunct/>
        <w:topLinePunct w:val="0"/>
        <w:autoSpaceDE/>
        <w:autoSpaceDN/>
        <w:bidi w:val="0"/>
        <w:adjustRightInd/>
        <w:snapToGrid/>
        <w:spacing w:line="360" w:lineRule="exact"/>
        <w:textAlignment w:val="auto"/>
        <w:rPr>
          <w:szCs w:val="21"/>
        </w:rPr>
      </w:pPr>
      <w:r>
        <w:rPr>
          <w:rFonts w:hint="eastAsia"/>
          <w:szCs w:val="21"/>
        </w:rPr>
        <w:t>经办银行：</w:t>
      </w:r>
      <w:r>
        <w:rPr>
          <w:szCs w:val="21"/>
          <w:u w:val="single"/>
        </w:rPr>
        <w:t xml:space="preserve">              </w:t>
      </w:r>
      <w:r>
        <w:rPr>
          <w:rFonts w:hint="eastAsia"/>
          <w:szCs w:val="21"/>
        </w:rPr>
        <w:t>（以下简称</w:t>
      </w:r>
      <w:r>
        <w:rPr>
          <w:szCs w:val="21"/>
        </w:rPr>
        <w:t>“</w:t>
      </w:r>
      <w:r>
        <w:rPr>
          <w:rFonts w:hint="eastAsia"/>
          <w:szCs w:val="21"/>
        </w:rPr>
        <w:t>丙方</w:t>
      </w:r>
      <w:r>
        <w:rPr>
          <w:szCs w:val="21"/>
        </w:rPr>
        <w:t>”</w:t>
      </w:r>
      <w:r>
        <w:rPr>
          <w:rFonts w:hint="eastAsia"/>
          <w:szCs w:val="21"/>
        </w:rPr>
        <w:t>）</w:t>
      </w:r>
    </w:p>
    <w:p w14:paraId="1D6EB71C">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为了促进</w:t>
      </w:r>
      <w:r>
        <w:rPr>
          <w:szCs w:val="21"/>
          <w:u w:val="single"/>
        </w:rPr>
        <w:t xml:space="preserve">                </w:t>
      </w:r>
      <w:r>
        <w:rPr>
          <w:rFonts w:hint="eastAsia"/>
          <w:szCs w:val="21"/>
        </w:rPr>
        <w:t>（项目名称）的顺利实施，管好用好建设资金，确保工程资金专款专用，同时为承包人提供便捷有效的银行业务服务，根据</w:t>
      </w:r>
      <w:r>
        <w:rPr>
          <w:szCs w:val="21"/>
          <w:u w:val="single"/>
        </w:rPr>
        <w:t xml:space="preserve">      </w:t>
      </w:r>
      <w:r>
        <w:rPr>
          <w:szCs w:val="21"/>
        </w:rPr>
        <w:t xml:space="preserve"> </w:t>
      </w:r>
      <w:r>
        <w:rPr>
          <w:rFonts w:hint="eastAsia"/>
          <w:szCs w:val="21"/>
        </w:rPr>
        <w:t>（项目名称）合同条款有关规定，经甲、乙、丙三方协商，达成协议如下：</w:t>
      </w:r>
    </w:p>
    <w:p w14:paraId="064D3F0E">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1.</w:t>
      </w:r>
      <w:r>
        <w:rPr>
          <w:rFonts w:hint="eastAsia"/>
          <w:szCs w:val="21"/>
        </w:rPr>
        <w:t>资金管理的内容</w:t>
      </w:r>
    </w:p>
    <w:p w14:paraId="28099B52">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1</w:t>
      </w:r>
      <w:r>
        <w:rPr>
          <w:rFonts w:hint="eastAsia"/>
          <w:szCs w:val="21"/>
        </w:rPr>
        <w:t>）乙方为完成</w:t>
      </w:r>
      <w:r>
        <w:rPr>
          <w:szCs w:val="21"/>
          <w:u w:val="single"/>
        </w:rPr>
        <w:t xml:space="preserve">      </w:t>
      </w:r>
      <w:r>
        <w:rPr>
          <w:szCs w:val="21"/>
        </w:rPr>
        <w:t xml:space="preserve"> </w:t>
      </w:r>
      <w:r>
        <w:rPr>
          <w:rFonts w:hint="eastAsia"/>
          <w:szCs w:val="21"/>
        </w:rPr>
        <w:t>（项目名称）工程成立的项目经理部在丙方开设基本结算户和</w:t>
      </w:r>
      <w:r>
        <w:rPr>
          <w:rFonts w:hint="eastAsia"/>
        </w:rPr>
        <w:t>农民工工资（劳务费）专用帐户</w:t>
      </w:r>
      <w:r>
        <w:rPr>
          <w:rFonts w:hint="eastAsia"/>
          <w:szCs w:val="21"/>
        </w:rPr>
        <w:t>；</w:t>
      </w:r>
    </w:p>
    <w:p w14:paraId="1A734CFF">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2</w:t>
      </w:r>
      <w:r>
        <w:rPr>
          <w:rFonts w:hint="eastAsia"/>
          <w:szCs w:val="21"/>
        </w:rPr>
        <w:t>）甲方应按合同规定将工程款（质量保证金除外）汇入乙方在丙方开设的账户；</w:t>
      </w:r>
    </w:p>
    <w:p w14:paraId="40945465">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3</w:t>
      </w:r>
      <w:r>
        <w:rPr>
          <w:rFonts w:hint="eastAsia"/>
          <w:szCs w:val="21"/>
        </w:rPr>
        <w:t>）乙方应将流动资金及甲方所拨付资金专项用于</w:t>
      </w:r>
      <w:r>
        <w:rPr>
          <w:szCs w:val="21"/>
          <w:u w:val="single"/>
        </w:rPr>
        <w:t xml:space="preserve">           </w:t>
      </w:r>
      <w:r>
        <w:rPr>
          <w:szCs w:val="21"/>
        </w:rPr>
        <w:t xml:space="preserve"> </w:t>
      </w:r>
      <w:r>
        <w:rPr>
          <w:rFonts w:hint="eastAsia"/>
          <w:szCs w:val="21"/>
        </w:rPr>
        <w:t>（项目名称）；</w:t>
      </w:r>
    </w:p>
    <w:p w14:paraId="61F4BB74">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4</w:t>
      </w:r>
      <w:r>
        <w:rPr>
          <w:rFonts w:hint="eastAsia"/>
          <w:szCs w:val="21"/>
        </w:rPr>
        <w:t>）丙方应为乙方提供便捷有效的银行业务服务，并接受甲方委托对乙方在丙方开设的基本结算户资金使用情况进行监督。</w:t>
      </w:r>
    </w:p>
    <w:p w14:paraId="2A3B6967">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2.</w:t>
      </w:r>
      <w:r>
        <w:rPr>
          <w:rFonts w:hint="eastAsia"/>
          <w:szCs w:val="21"/>
        </w:rPr>
        <w:t>甲方的权责</w:t>
      </w:r>
    </w:p>
    <w:p w14:paraId="7F0DF9AE">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1</w:t>
      </w:r>
      <w:r>
        <w:rPr>
          <w:rFonts w:hint="eastAsia"/>
          <w:szCs w:val="21"/>
        </w:rPr>
        <w:t>）按照</w:t>
      </w:r>
      <w:r>
        <w:rPr>
          <w:szCs w:val="21"/>
          <w:u w:val="single"/>
        </w:rPr>
        <w:t xml:space="preserve">       </w:t>
      </w:r>
      <w:r>
        <w:rPr>
          <w:szCs w:val="21"/>
        </w:rPr>
        <w:t xml:space="preserve"> </w:t>
      </w:r>
      <w:r>
        <w:rPr>
          <w:rFonts w:hint="eastAsia"/>
          <w:szCs w:val="21"/>
        </w:rPr>
        <w:t>（项目名称）合同有关条款规定的时间和方式，向乙方支付工程款；</w:t>
      </w:r>
    </w:p>
    <w:p w14:paraId="6B15875D">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2</w:t>
      </w:r>
      <w:r>
        <w:rPr>
          <w:rFonts w:hint="eastAsia"/>
          <w:szCs w:val="21"/>
        </w:rPr>
        <w:t>）在发现乙方将本项目资金挪用、转移时，甲方有权中止工程支付，直至乙方改正为止；</w:t>
      </w:r>
    </w:p>
    <w:p w14:paraId="0E1E3B1E">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3</w:t>
      </w:r>
      <w:r>
        <w:rPr>
          <w:rFonts w:hint="eastAsia"/>
          <w:szCs w:val="21"/>
        </w:rPr>
        <w:t>）不定期审查丙方对乙方的资金使用监督情况，如丙方不能履行其责任，甲方有权随时终止本协议；</w:t>
      </w:r>
    </w:p>
    <w:p w14:paraId="6002F9AA">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4</w:t>
      </w:r>
      <w:r>
        <w:rPr>
          <w:rFonts w:hint="eastAsia"/>
          <w:szCs w:val="21"/>
        </w:rPr>
        <w:t>）在乙、丙双方发生争议时，甲方应负责协调、解决。</w:t>
      </w:r>
    </w:p>
    <w:p w14:paraId="2AD21F97">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3.</w:t>
      </w:r>
      <w:r>
        <w:rPr>
          <w:rFonts w:hint="eastAsia"/>
          <w:szCs w:val="21"/>
        </w:rPr>
        <w:t>乙方的权责</w:t>
      </w:r>
    </w:p>
    <w:p w14:paraId="533411BD">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1</w:t>
      </w:r>
      <w:r>
        <w:rPr>
          <w:rFonts w:hint="eastAsia"/>
          <w:szCs w:val="21"/>
        </w:rPr>
        <w:t>）项目经理部成立以后，乙方应尽快在丙方开设基本结算户；</w:t>
      </w:r>
    </w:p>
    <w:p w14:paraId="0BD431CD">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2</w:t>
      </w:r>
      <w:r>
        <w:rPr>
          <w:rFonts w:hint="eastAsia"/>
          <w:szCs w:val="21"/>
        </w:rPr>
        <w:t>）确保本项目资金专款专用，不发生挪用、转移资金的现象；保证不通过权益转让、抵押、担保承担债务等任何其他方式使用基本结算户的资金；</w:t>
      </w:r>
    </w:p>
    <w:p w14:paraId="4ACDD8B1">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3</w:t>
      </w:r>
      <w:r>
        <w:rPr>
          <w:rFonts w:hint="eastAsia"/>
          <w:szCs w:val="21"/>
        </w:rPr>
        <w:t>）办理材料、设备等采购业务金额在</w:t>
      </w:r>
      <w:r>
        <w:rPr>
          <w:szCs w:val="21"/>
          <w:u w:val="single"/>
        </w:rPr>
        <w:t xml:space="preserve">       </w:t>
      </w:r>
      <w:r>
        <w:rPr>
          <w:rFonts w:hint="eastAsia"/>
          <w:szCs w:val="21"/>
        </w:rPr>
        <w:t>万元以上的，应出示购货合同、协议和发票；在办理总额超过</w:t>
      </w:r>
      <w:r>
        <w:rPr>
          <w:szCs w:val="21"/>
          <w:u w:val="single"/>
        </w:rPr>
        <w:t xml:space="preserve">       </w:t>
      </w:r>
      <w:r>
        <w:rPr>
          <w:rFonts w:hint="eastAsia"/>
          <w:szCs w:val="21"/>
        </w:rPr>
        <w:t>万元以上的采购业务时，应将合同、协议和发票复印件送丙方备案；购买应急材料、设备时可先办理支付手续，但事后必须补备有关资料；</w:t>
      </w:r>
    </w:p>
    <w:p w14:paraId="417EAE24">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4</w:t>
      </w:r>
      <w:r>
        <w:rPr>
          <w:rFonts w:hint="eastAsia"/>
          <w:szCs w:val="21"/>
        </w:rPr>
        <w:t>）用银行转账支票办理支付款项时，必须将转账支票送交丙方，由丙方负责办理支票转付手续；</w:t>
      </w:r>
    </w:p>
    <w:p w14:paraId="410BE153">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5</w:t>
      </w:r>
      <w:r>
        <w:rPr>
          <w:rFonts w:hint="eastAsia"/>
          <w:szCs w:val="21"/>
        </w:rPr>
        <w:t>）向分包单位支付工程进度款时，应附甲方批准分包的文件；</w:t>
      </w:r>
    </w:p>
    <w:p w14:paraId="24BFC24B">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6</w:t>
      </w:r>
      <w:r>
        <w:rPr>
          <w:rFonts w:hint="eastAsia"/>
          <w:szCs w:val="21"/>
        </w:rPr>
        <w:t>）向上级单位缴纳管理费、机械设备及周转材料租赁摊销费等款项时，应附上级单位出具的转账通知等有关资料，以确保资金专款专用。</w:t>
      </w:r>
    </w:p>
    <w:p w14:paraId="6A51BC73">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7</w:t>
      </w:r>
      <w:r>
        <w:rPr>
          <w:rFonts w:hint="eastAsia"/>
          <w:szCs w:val="21"/>
        </w:rPr>
        <w:t>）开设农民工工资（劳务费）专用帐户，并委托丙方负责日常监管，确保专款专用。</w:t>
      </w:r>
    </w:p>
    <w:p w14:paraId="0EC690CA">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4.</w:t>
      </w:r>
      <w:r>
        <w:rPr>
          <w:rFonts w:hint="eastAsia"/>
          <w:szCs w:val="21"/>
        </w:rPr>
        <w:t>丙方的权责</w:t>
      </w:r>
    </w:p>
    <w:p w14:paraId="5C4681F3">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1</w:t>
      </w:r>
      <w:r>
        <w:rPr>
          <w:rFonts w:hint="eastAsia"/>
          <w:szCs w:val="21"/>
        </w:rPr>
        <w:t>）成立</w:t>
      </w:r>
      <w:r>
        <w:rPr>
          <w:szCs w:val="21"/>
          <w:u w:val="single"/>
        </w:rPr>
        <w:t xml:space="preserve">                </w:t>
      </w:r>
      <w:r>
        <w:rPr>
          <w:rFonts w:hint="eastAsia"/>
          <w:szCs w:val="21"/>
        </w:rPr>
        <w:t>（项目名称）工程资金管理服务小组，明确业务流程，提高工作效率，杜绝</w:t>
      </w:r>
      <w:r>
        <w:rPr>
          <w:szCs w:val="21"/>
        </w:rPr>
        <w:t>“</w:t>
      </w:r>
      <w:r>
        <w:rPr>
          <w:rFonts w:hint="eastAsia"/>
          <w:szCs w:val="21"/>
        </w:rPr>
        <w:t>压票</w:t>
      </w:r>
      <w:r>
        <w:rPr>
          <w:szCs w:val="21"/>
        </w:rPr>
        <w:t>”</w:t>
      </w:r>
      <w:r>
        <w:rPr>
          <w:rFonts w:hint="eastAsia"/>
          <w:szCs w:val="21"/>
        </w:rPr>
        <w:t>现象；</w:t>
      </w:r>
    </w:p>
    <w:p w14:paraId="47014BC6">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2</w:t>
      </w:r>
      <w:r>
        <w:rPr>
          <w:rFonts w:hint="eastAsia"/>
          <w:szCs w:val="21"/>
        </w:rPr>
        <w:t>）根据乙方提供的购货合同、协议和发票，检查其所购材料、设备是否用于（项目名称）工程建设，对本标段以外的购货款项，有权拒绝办理，并及时报告甲方；</w:t>
      </w:r>
    </w:p>
    <w:p w14:paraId="3D6632DD">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3</w:t>
      </w:r>
      <w:r>
        <w:rPr>
          <w:rFonts w:hint="eastAsia"/>
          <w:szCs w:val="21"/>
        </w:rPr>
        <w:t>）根据乙方与分包单位签订的合同及支付文件，检查其支付款项是否符合有关条件，向分包单位以外单位的支付有权拒绝办理，并及时报告甲方；</w:t>
      </w:r>
    </w:p>
    <w:p w14:paraId="67006DA4">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4</w:t>
      </w:r>
      <w:r>
        <w:rPr>
          <w:rFonts w:hint="eastAsia"/>
          <w:szCs w:val="21"/>
        </w:rPr>
        <w:t>）根据乙方提供的上级单位出具的转账通知等有关资料，办理管理费、机械设备及周转材料租赁摊销费等款项的支付；对超出转账通知等有关资料以外的支付，有权拒绝办理，并及时报告甲方；</w:t>
      </w:r>
    </w:p>
    <w:p w14:paraId="6712935E">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5</w:t>
      </w:r>
      <w:r>
        <w:rPr>
          <w:rFonts w:hint="eastAsia"/>
          <w:szCs w:val="21"/>
        </w:rPr>
        <w:t>）定期将乙方前一个周期的支付情况，整理后书面报送甲方；乙方复印备案的材料一并送甲方；</w:t>
      </w:r>
    </w:p>
    <w:p w14:paraId="26A87796">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w:t>
      </w:r>
      <w:r>
        <w:rPr>
          <w:szCs w:val="21"/>
        </w:rPr>
        <w:t>6</w:t>
      </w:r>
      <w:r>
        <w:rPr>
          <w:rFonts w:hint="eastAsia"/>
          <w:szCs w:val="21"/>
        </w:rPr>
        <w:t>）监管乙方开设的农民工工资（劳务费）专用帐户，确保专款专用。</w:t>
      </w:r>
    </w:p>
    <w:p w14:paraId="4A20DEDF">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5.</w:t>
      </w:r>
      <w:r>
        <w:rPr>
          <w:rFonts w:hint="eastAsia"/>
          <w:szCs w:val="21"/>
        </w:rPr>
        <w:t>甲、乙、丙三方都应履行保密责任，不得将其他两方的业务情况透露给三方以外的其他单位或个人。</w:t>
      </w:r>
    </w:p>
    <w:p w14:paraId="45639726">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6.</w:t>
      </w:r>
      <w:r>
        <w:rPr>
          <w:rFonts w:hint="eastAsia"/>
          <w:szCs w:val="21"/>
        </w:rPr>
        <w:t>本协议有效期自乙方在丙方开户起，至工程交工验收甲方向乙方颁发交工验收证书后结束。</w:t>
      </w:r>
    </w:p>
    <w:p w14:paraId="4D7D83BA">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7.</w:t>
      </w:r>
      <w:r>
        <w:rPr>
          <w:rFonts w:hint="eastAsia"/>
          <w:szCs w:val="21"/>
        </w:rPr>
        <w:t>本协议未尽事宜，由甲方牵头，三方协商解决。</w:t>
      </w:r>
    </w:p>
    <w:p w14:paraId="0B360B7A">
      <w:pPr>
        <w:keepNext w:val="0"/>
        <w:keepLines w:val="0"/>
        <w:pageBreakBefore w:val="0"/>
        <w:widowControl w:val="0"/>
        <w:tabs>
          <w:tab w:val="left" w:pos="2790"/>
        </w:tabs>
        <w:kinsoku/>
        <w:wordWrap/>
        <w:overflowPunct/>
        <w:topLinePunct w:val="0"/>
        <w:autoSpaceDE/>
        <w:autoSpaceDN/>
        <w:bidi w:val="0"/>
        <w:adjustRightInd/>
        <w:snapToGrid/>
        <w:spacing w:line="360" w:lineRule="exact"/>
        <w:ind w:firstLine="420" w:firstLineChars="200"/>
        <w:textAlignment w:val="auto"/>
        <w:rPr>
          <w:szCs w:val="21"/>
        </w:rPr>
      </w:pPr>
      <w:r>
        <w:rPr>
          <w:szCs w:val="21"/>
        </w:rPr>
        <w:t>8.</w:t>
      </w:r>
      <w:r>
        <w:rPr>
          <w:rFonts w:hint="eastAsia"/>
          <w:szCs w:val="21"/>
        </w:rPr>
        <w:t>本协议正本三份、副本</w:t>
      </w:r>
      <w:r>
        <w:rPr>
          <w:szCs w:val="21"/>
          <w:u w:val="single"/>
        </w:rPr>
        <w:t xml:space="preserve">     </w:t>
      </w:r>
      <w:r>
        <w:rPr>
          <w:rFonts w:hint="eastAsia"/>
          <w:szCs w:val="21"/>
        </w:rPr>
        <w:t>份。合同三方各执正本一份、副本</w:t>
      </w:r>
      <w:r>
        <w:rPr>
          <w:szCs w:val="21"/>
          <w:u w:val="single"/>
        </w:rPr>
        <w:t xml:space="preserve">     </w:t>
      </w:r>
      <w:r>
        <w:rPr>
          <w:rFonts w:hint="eastAsia"/>
          <w:szCs w:val="21"/>
        </w:rPr>
        <w:t>份，当正本与副本内容不一致时，以正本为准。</w:t>
      </w:r>
    </w:p>
    <w:p w14:paraId="03EABA5C">
      <w:pPr>
        <w:tabs>
          <w:tab w:val="left" w:pos="2790"/>
        </w:tabs>
        <w:spacing w:before="120" w:beforeLines="50" w:line="360" w:lineRule="auto"/>
        <w:ind w:firstLine="420" w:firstLineChars="200"/>
        <w:rPr>
          <w:szCs w:val="21"/>
        </w:rPr>
      </w:pPr>
    </w:p>
    <w:p w14:paraId="77914A7E">
      <w:pPr>
        <w:tabs>
          <w:tab w:val="left" w:pos="2790"/>
        </w:tabs>
        <w:spacing w:before="120" w:beforeLines="50" w:line="360" w:lineRule="auto"/>
        <w:ind w:left="3543" w:leftChars="1687" w:firstLine="420" w:firstLineChars="200"/>
        <w:rPr>
          <w:szCs w:val="21"/>
        </w:rPr>
      </w:pPr>
      <w:r>
        <w:rPr>
          <w:rFonts w:hint="eastAsia"/>
          <w:szCs w:val="21"/>
        </w:rPr>
        <w:t>发包人：</w:t>
      </w:r>
      <w:r>
        <w:rPr>
          <w:szCs w:val="21"/>
          <w:u w:val="single"/>
        </w:rPr>
        <w:t xml:space="preserve">                  </w:t>
      </w:r>
      <w:r>
        <w:rPr>
          <w:szCs w:val="21"/>
        </w:rPr>
        <w:t xml:space="preserve"> </w:t>
      </w:r>
      <w:r>
        <w:rPr>
          <w:rFonts w:hint="eastAsia"/>
          <w:szCs w:val="21"/>
        </w:rPr>
        <w:t>（盖单位章）</w:t>
      </w:r>
    </w:p>
    <w:p w14:paraId="258291A1">
      <w:pPr>
        <w:tabs>
          <w:tab w:val="left" w:pos="2790"/>
        </w:tabs>
        <w:spacing w:line="360" w:lineRule="auto"/>
        <w:ind w:left="3543" w:leftChars="1687" w:firstLine="420" w:firstLineChars="200"/>
        <w:rPr>
          <w:szCs w:val="21"/>
        </w:rPr>
      </w:pPr>
      <w:r>
        <w:rPr>
          <w:rFonts w:hint="eastAsia"/>
          <w:szCs w:val="21"/>
        </w:rPr>
        <w:t>法定代表人或其委托代理人：</w:t>
      </w:r>
      <w:r>
        <w:rPr>
          <w:szCs w:val="21"/>
          <w:u w:val="single"/>
        </w:rPr>
        <w:t xml:space="preserve">     </w:t>
      </w:r>
      <w:r>
        <w:rPr>
          <w:rFonts w:hint="eastAsia"/>
          <w:szCs w:val="21"/>
        </w:rPr>
        <w:t>（签字）</w:t>
      </w:r>
    </w:p>
    <w:p w14:paraId="5368CC57">
      <w:pPr>
        <w:tabs>
          <w:tab w:val="left" w:pos="2790"/>
        </w:tabs>
        <w:spacing w:line="360" w:lineRule="auto"/>
        <w:ind w:left="3543" w:leftChars="1687" w:firstLine="2310" w:firstLineChars="11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7124AD22">
      <w:pPr>
        <w:tabs>
          <w:tab w:val="left" w:pos="2790"/>
        </w:tabs>
        <w:spacing w:line="360" w:lineRule="auto"/>
        <w:ind w:left="3543" w:leftChars="1687" w:firstLine="420" w:firstLineChars="200"/>
        <w:rPr>
          <w:szCs w:val="21"/>
        </w:rPr>
      </w:pPr>
      <w:r>
        <w:rPr>
          <w:rFonts w:hint="eastAsia"/>
          <w:szCs w:val="21"/>
        </w:rPr>
        <w:t>承包人：</w:t>
      </w:r>
      <w:r>
        <w:rPr>
          <w:szCs w:val="21"/>
          <w:u w:val="single"/>
        </w:rPr>
        <w:t xml:space="preserve">                  </w:t>
      </w:r>
      <w:r>
        <w:rPr>
          <w:szCs w:val="21"/>
        </w:rPr>
        <w:t xml:space="preserve"> </w:t>
      </w:r>
      <w:r>
        <w:rPr>
          <w:rFonts w:hint="eastAsia"/>
          <w:szCs w:val="21"/>
        </w:rPr>
        <w:t>（盖单位章）</w:t>
      </w:r>
    </w:p>
    <w:p w14:paraId="4402F979">
      <w:pPr>
        <w:tabs>
          <w:tab w:val="left" w:pos="2790"/>
        </w:tabs>
        <w:spacing w:line="360" w:lineRule="auto"/>
        <w:ind w:left="3543" w:leftChars="1687" w:firstLine="420" w:firstLineChars="200"/>
        <w:rPr>
          <w:szCs w:val="21"/>
        </w:rPr>
      </w:pPr>
      <w:r>
        <w:rPr>
          <w:rFonts w:hint="eastAsia"/>
          <w:szCs w:val="21"/>
        </w:rPr>
        <w:t>法定代表人或其委托代理人：</w:t>
      </w:r>
      <w:r>
        <w:rPr>
          <w:szCs w:val="21"/>
          <w:u w:val="single"/>
        </w:rPr>
        <w:t xml:space="preserve">     </w:t>
      </w:r>
      <w:r>
        <w:rPr>
          <w:rFonts w:hint="eastAsia"/>
          <w:szCs w:val="21"/>
        </w:rPr>
        <w:t>（签字）</w:t>
      </w:r>
    </w:p>
    <w:p w14:paraId="6AE90405">
      <w:pPr>
        <w:tabs>
          <w:tab w:val="left" w:pos="2790"/>
        </w:tabs>
        <w:spacing w:line="360" w:lineRule="auto"/>
        <w:ind w:left="3543" w:leftChars="1687" w:firstLine="2310" w:firstLineChars="11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3290369C">
      <w:pPr>
        <w:tabs>
          <w:tab w:val="left" w:pos="2790"/>
        </w:tabs>
        <w:spacing w:line="360" w:lineRule="auto"/>
        <w:ind w:left="3543" w:leftChars="1687" w:firstLine="420" w:firstLineChars="200"/>
        <w:rPr>
          <w:szCs w:val="21"/>
        </w:rPr>
      </w:pPr>
      <w:r>
        <w:rPr>
          <w:rFonts w:hint="eastAsia"/>
          <w:szCs w:val="21"/>
        </w:rPr>
        <w:t>经办银行：</w:t>
      </w:r>
      <w:r>
        <w:rPr>
          <w:szCs w:val="21"/>
          <w:u w:val="single"/>
        </w:rPr>
        <w:t xml:space="preserve">                </w:t>
      </w:r>
      <w:r>
        <w:rPr>
          <w:szCs w:val="21"/>
        </w:rPr>
        <w:t xml:space="preserve"> </w:t>
      </w:r>
      <w:r>
        <w:rPr>
          <w:rFonts w:hint="eastAsia"/>
          <w:szCs w:val="21"/>
        </w:rPr>
        <w:t>（盖单位章）</w:t>
      </w:r>
    </w:p>
    <w:p w14:paraId="095F33B1">
      <w:pPr>
        <w:tabs>
          <w:tab w:val="left" w:pos="2790"/>
        </w:tabs>
        <w:spacing w:line="360" w:lineRule="auto"/>
        <w:ind w:left="3543" w:leftChars="1687" w:firstLine="420" w:firstLineChars="200"/>
        <w:rPr>
          <w:szCs w:val="21"/>
        </w:rPr>
      </w:pPr>
      <w:r>
        <w:rPr>
          <w:rFonts w:hint="eastAsia"/>
          <w:szCs w:val="21"/>
        </w:rPr>
        <w:t>法定代表人或其委托代理人：</w:t>
      </w:r>
      <w:r>
        <w:rPr>
          <w:szCs w:val="21"/>
          <w:u w:val="single"/>
        </w:rPr>
        <w:t xml:space="preserve">     </w:t>
      </w:r>
      <w:r>
        <w:rPr>
          <w:rFonts w:hint="eastAsia"/>
          <w:szCs w:val="21"/>
        </w:rPr>
        <w:t>（签字）</w:t>
      </w:r>
    </w:p>
    <w:p w14:paraId="113214BD">
      <w:pPr>
        <w:tabs>
          <w:tab w:val="left" w:pos="2790"/>
        </w:tabs>
        <w:spacing w:line="360" w:lineRule="auto"/>
        <w:ind w:left="3543" w:leftChars="1687" w:firstLine="2310" w:firstLineChars="11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17295A74">
      <w:pPr>
        <w:tabs>
          <w:tab w:val="left" w:pos="2790"/>
        </w:tabs>
        <w:spacing w:line="360" w:lineRule="auto"/>
        <w:outlineLvl w:val="2"/>
        <w:rPr>
          <w:sz w:val="28"/>
          <w:szCs w:val="28"/>
        </w:rPr>
      </w:pPr>
      <w:r>
        <w:rPr>
          <w:szCs w:val="21"/>
        </w:rPr>
        <w:br w:type="page"/>
      </w:r>
      <w:bookmarkStart w:id="367" w:name="_Toc22268"/>
      <w:bookmarkStart w:id="368" w:name="_Toc154675147"/>
      <w:r>
        <w:rPr>
          <w:rFonts w:hint="eastAsia"/>
          <w:sz w:val="28"/>
          <w:szCs w:val="28"/>
        </w:rPr>
        <w:t>附件十</w:t>
      </w:r>
      <w:r>
        <w:rPr>
          <w:sz w:val="28"/>
          <w:szCs w:val="28"/>
        </w:rPr>
        <w:t xml:space="preserve">  </w:t>
      </w:r>
      <w:r>
        <w:rPr>
          <w:rFonts w:hint="eastAsia"/>
          <w:sz w:val="28"/>
          <w:szCs w:val="28"/>
        </w:rPr>
        <w:t>工程质量责任合同</w:t>
      </w:r>
      <w:bookmarkEnd w:id="367"/>
      <w:bookmarkEnd w:id="368"/>
    </w:p>
    <w:p w14:paraId="3FC7E36E">
      <w:pPr>
        <w:tabs>
          <w:tab w:val="left" w:pos="2790"/>
        </w:tabs>
        <w:spacing w:line="360" w:lineRule="auto"/>
        <w:jc w:val="center"/>
        <w:rPr>
          <w:rFonts w:eastAsia="黑体"/>
          <w:sz w:val="28"/>
          <w:szCs w:val="28"/>
        </w:rPr>
      </w:pPr>
      <w:r>
        <w:rPr>
          <w:rFonts w:hint="eastAsia" w:eastAsia="黑体"/>
          <w:sz w:val="28"/>
          <w:szCs w:val="28"/>
        </w:rPr>
        <w:t>工程质量责任合同</w:t>
      </w:r>
    </w:p>
    <w:p w14:paraId="3F6311A1">
      <w:pPr>
        <w:spacing w:line="360" w:lineRule="auto"/>
        <w:jc w:val="center"/>
      </w:pPr>
    </w:p>
    <w:p w14:paraId="2ED99F2A">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根据国务院《建设工程质量管理条例》，为保证在设计使用年限内建设工程质量，</w:t>
      </w:r>
      <w:r>
        <w:t xml:space="preserve"> </w:t>
      </w:r>
      <w:r>
        <w:rPr>
          <w:u w:val="single"/>
        </w:rPr>
        <w:t xml:space="preserve"> </w:t>
      </w:r>
      <w:r>
        <w:rPr>
          <w:rFonts w:hint="eastAsia"/>
          <w:u w:val="single"/>
        </w:rPr>
        <w:t>（项目名称）</w:t>
      </w:r>
      <w:r>
        <w:rPr>
          <w:u w:val="single"/>
        </w:rPr>
        <w:t xml:space="preserve">  </w:t>
      </w:r>
      <w:r>
        <w:rPr>
          <w:rFonts w:hint="eastAsia"/>
        </w:rPr>
        <w:t>的发包人</w:t>
      </w:r>
      <w:r>
        <w:rPr>
          <w:u w:val="single"/>
        </w:rPr>
        <w:t xml:space="preserve">                </w:t>
      </w:r>
      <w:r>
        <w:rPr>
          <w:rFonts w:hint="eastAsia"/>
        </w:rPr>
        <w:t>（以下称甲方）与承包人</w:t>
      </w:r>
      <w:r>
        <w:rPr>
          <w:u w:val="single"/>
        </w:rPr>
        <w:t xml:space="preserve">                   </w:t>
      </w:r>
      <w:r>
        <w:rPr>
          <w:rFonts w:hint="eastAsia"/>
        </w:rPr>
        <w:t>（以下称乙方），特订立如下质量责任合同。</w:t>
      </w:r>
    </w:p>
    <w:p w14:paraId="2F044D26">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第一条</w:t>
      </w:r>
      <w:r>
        <w:t xml:space="preserve">  </w:t>
      </w:r>
      <w:r>
        <w:rPr>
          <w:rFonts w:hint="eastAsia"/>
        </w:rPr>
        <w:t>本建设工程项目的质量目标为</w:t>
      </w:r>
      <w:r>
        <w:rPr>
          <w:rFonts w:hint="eastAsia"/>
          <w:szCs w:val="21"/>
        </w:rPr>
        <w:t>标段工程交工验收的质量评定：</w:t>
      </w:r>
      <w:r>
        <w:rPr>
          <w:u w:val="single"/>
        </w:rPr>
        <w:t xml:space="preserve">             </w:t>
      </w:r>
      <w:r>
        <w:rPr>
          <w:rFonts w:hint="eastAsia"/>
          <w:szCs w:val="21"/>
        </w:rPr>
        <w:t>；标段工程竣工验收的质量评定：</w:t>
      </w:r>
      <w:r>
        <w:rPr>
          <w:u w:val="single"/>
        </w:rPr>
        <w:t xml:space="preserve">               </w:t>
      </w:r>
      <w:r>
        <w:rPr>
          <w:rFonts w:hint="eastAsia"/>
        </w:rPr>
        <w:t>，承包人对本建设工程的施工质量在设计使用年限内依法终身负责。施工质量责任人</w:t>
      </w:r>
      <w:r>
        <w:rPr>
          <w:u w:val="single"/>
        </w:rPr>
        <w:t xml:space="preserve">           </w:t>
      </w:r>
      <w:r>
        <w:rPr>
          <w:rFonts w:hint="eastAsia"/>
        </w:rPr>
        <w:t>。</w:t>
      </w:r>
    </w:p>
    <w:p w14:paraId="004EFEBB">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第二条</w:t>
      </w:r>
      <w:r>
        <w:t xml:space="preserve">  </w:t>
      </w:r>
      <w:r>
        <w:rPr>
          <w:rFonts w:hint="eastAsia"/>
        </w:rPr>
        <w:t>甲乙双方的权利与义务</w:t>
      </w:r>
    </w:p>
    <w:p w14:paraId="0B4D88A0">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（一）严格遵守国家有关法律法规及交通运输部</w:t>
      </w:r>
      <w:r>
        <w:rPr>
          <w:rFonts w:hint="eastAsia"/>
          <w:szCs w:val="21"/>
        </w:rPr>
        <w:t>、浙江省交通运输厅</w:t>
      </w:r>
      <w:r>
        <w:rPr>
          <w:rFonts w:hint="eastAsia"/>
        </w:rPr>
        <w:t>的有关规定。</w:t>
      </w:r>
    </w:p>
    <w:p w14:paraId="3224FDBA">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（二）严格执行</w:t>
      </w:r>
      <w:r>
        <w:rPr>
          <w:u w:val="single"/>
        </w:rPr>
        <w:t xml:space="preserve">  </w:t>
      </w:r>
      <w:r>
        <w:rPr>
          <w:rFonts w:hint="eastAsia"/>
          <w:u w:val="single"/>
        </w:rPr>
        <w:t>（项目名称）</w:t>
      </w:r>
      <w:r>
        <w:rPr>
          <w:u w:val="single"/>
        </w:rPr>
        <w:t xml:space="preserve">  </w:t>
      </w:r>
      <w:r>
        <w:rPr>
          <w:rFonts w:hint="eastAsia"/>
        </w:rPr>
        <w:t>第</w:t>
      </w:r>
      <w:r>
        <w:rPr>
          <w:u w:val="single"/>
        </w:rPr>
        <w:t xml:space="preserve">    </w:t>
      </w:r>
      <w:r>
        <w:rPr>
          <w:rFonts w:hint="eastAsia"/>
        </w:rPr>
        <w:t>标段施工合同文件，自觉按合同办事。</w:t>
      </w:r>
    </w:p>
    <w:p w14:paraId="1670F630">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（三）双方的施工业务活动必须坚持科学、公正、诚信、平等的原则，不得损害国家、集体的利益，不得违反工程建设管理规章制度。</w:t>
      </w:r>
    </w:p>
    <w:p w14:paraId="0C2A3E3F">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（四）发现对方在施工业务活动中，有违反有关规定的行为，有及时提醒对方纠正的权利和义务。</w:t>
      </w:r>
    </w:p>
    <w:p w14:paraId="4E3F4240">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（五）发现对方严重违反施工合同文件的行为，有向其上级有关部门举报，建议给予处理并要求告知处理结果的权利。</w:t>
      </w:r>
    </w:p>
    <w:p w14:paraId="38E39C35">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第三条</w:t>
      </w:r>
      <w:r>
        <w:t xml:space="preserve">  </w:t>
      </w:r>
      <w:r>
        <w:rPr>
          <w:rFonts w:hint="eastAsia"/>
        </w:rPr>
        <w:t>甲方的义务</w:t>
      </w:r>
    </w:p>
    <w:p w14:paraId="7A40D701">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（一）甲方向乙方及时提供有关资料（包括技术规范、工程量清单、施工图等。）</w:t>
      </w:r>
    </w:p>
    <w:p w14:paraId="72B55EE7">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（二）甲方向乙方及时提供建设用地，及时解决对工程占地范围以内尚未拆迁的建筑物及其他障碍物。</w:t>
      </w:r>
    </w:p>
    <w:p w14:paraId="1B8C7274">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（三）甲方应向乙方提供主要原材料和产品质量的检验标准和检测频率，重点明确主要受力构件产品平行抽检和见证检验的要求。</w:t>
      </w:r>
    </w:p>
    <w:p w14:paraId="40BA4FBD">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（四）甲方不得指使乙方不按法律、法规、工程建设强制性标准和施工规范进行工程的施工活动。</w:t>
      </w:r>
    </w:p>
    <w:p w14:paraId="7719C4A3">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（五）甲方须按施工合同的约定支付工程款，除施工合同的约定外，甲方不得以任何借口克扣工程款或拖延工程款的支付。</w:t>
      </w:r>
    </w:p>
    <w:p w14:paraId="22790C6D">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（六）甲方不得明示或暗示向乙方推荐单位或个人承包或分包本工程项目的施工任务。</w:t>
      </w:r>
    </w:p>
    <w:p w14:paraId="00277234">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（七）甲方不得以任何理由索取回扣或其它好处。</w:t>
      </w:r>
    </w:p>
    <w:p w14:paraId="4489189F">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第四条</w:t>
      </w:r>
      <w:r>
        <w:t xml:space="preserve">  </w:t>
      </w:r>
      <w:r>
        <w:rPr>
          <w:rFonts w:hint="eastAsia"/>
        </w:rPr>
        <w:t>乙方的义务</w:t>
      </w:r>
    </w:p>
    <w:p w14:paraId="44891970">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（一）乙方应具备与本工程项目相应等级的施工资质证书。</w:t>
      </w:r>
    </w:p>
    <w:p w14:paraId="09D829FA">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（二）乙方不得允许其它单位或个人以乙方的名义承揽本工程项目的施工任务，不得转包或违法分包所承揽的本工程的项目施工任务。</w:t>
      </w:r>
    </w:p>
    <w:p w14:paraId="38BE31BA">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（三）乙方必须严格履行施工合同，按</w:t>
      </w:r>
      <w:r>
        <w:rPr>
          <w:rFonts w:hint="eastAsia"/>
          <w:lang w:eastAsia="zh-CN"/>
        </w:rPr>
        <w:t>竞包</w:t>
      </w:r>
      <w:r>
        <w:rPr>
          <w:rFonts w:hint="eastAsia"/>
        </w:rPr>
        <w:t>承诺的施工技术人员及时到位。施工技术人员原则上不得擅自调换，如有特殊原因确需调换的，须经发包人书面同意方能换人。</w:t>
      </w:r>
    </w:p>
    <w:p w14:paraId="615F5B18">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（四）乙方应配备专职的质量管理人员。</w:t>
      </w:r>
    </w:p>
    <w:p w14:paraId="08863D1F">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（五）乙方</w:t>
      </w:r>
      <w:r>
        <w:rPr>
          <w:rFonts w:hint="eastAsia"/>
          <w:lang w:val="en-US" w:eastAsia="zh-CN"/>
        </w:rPr>
        <w:t>可</w:t>
      </w:r>
      <w:r>
        <w:rPr>
          <w:rFonts w:hint="eastAsia"/>
        </w:rPr>
        <w:t>建立工地临时试验室</w:t>
      </w:r>
      <w:r>
        <w:rPr>
          <w:rFonts w:hint="eastAsia"/>
          <w:lang w:val="en-US" w:eastAsia="zh-CN"/>
        </w:rPr>
        <w:t>或外委</w:t>
      </w:r>
      <w:r>
        <w:rPr>
          <w:rFonts w:hint="eastAsia"/>
        </w:rPr>
        <w:t>。按有关规定做好各类试验，试验资料应真实、完整，统一归档。</w:t>
      </w:r>
    </w:p>
    <w:p w14:paraId="7AB0EF57">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（六）乙方必须按照工程设计图纸和施工技术规范施工，不得擅自修改工程设计，不得偷工减料。</w:t>
      </w:r>
    </w:p>
    <w:p w14:paraId="4153CB3E">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（七）乙方在施工过程中发现设计文件和图纸有差错的，应当及时提出意见和建议。</w:t>
      </w:r>
    </w:p>
    <w:p w14:paraId="4920FC11">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（八）乙方与甲方、承包人或指定分包人之间有关工程质量、进度和费用的一切往来函件、报表均应分类编号归档保存；施工技术资料应真实、完整。</w:t>
      </w:r>
    </w:p>
    <w:p w14:paraId="1FFD94A8">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九）乙方应加强对甲方按合同规定采购的材料和设备的检验，对涉及结构安全的锚夹具、支座、吊杆（索）等受力构件产品检测，应当在甲方或者监理单位见证下现场取样，对检验不合格的产品，乙方应拒绝使用。</w:t>
      </w:r>
    </w:p>
    <w:p w14:paraId="0D6775C5">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（十）乙方不得暗示材料、设备供应单位提供使用不合格或质量低劣的材料、设备。</w:t>
      </w:r>
    </w:p>
    <w:p w14:paraId="3ECD63F8">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第五条</w:t>
      </w:r>
      <w:r>
        <w:t xml:space="preserve">  </w:t>
      </w:r>
      <w:r>
        <w:rPr>
          <w:rFonts w:hint="eastAsia"/>
        </w:rPr>
        <w:t>违约责任</w:t>
      </w:r>
    </w:p>
    <w:p w14:paraId="089730E8">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（一）甲方及其工作人员违反本合同第二、三条，按管理权限，依据国务院《建设工程质量管理条例》有关规定给予相应的处罚；涉嫌犯罪的，依法追究刑事责任；给乙方单位造成经济损失的，应予以赔偿。</w:t>
      </w:r>
    </w:p>
    <w:p w14:paraId="583CCC8F">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（二）乙方及其工作人员违反本合同第二、四条，按管理权限，依据国务院《建设工程质量管理条例》有关规定给予相应的处罚；涉嫌犯罪的，依法追究刑事责任；给甲方单位造成经济损失的，应予以赔偿。</w:t>
      </w:r>
    </w:p>
    <w:p w14:paraId="43E21A28">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第六条</w:t>
      </w:r>
      <w:r>
        <w:t xml:space="preserve">  </w:t>
      </w:r>
      <w:r>
        <w:rPr>
          <w:rFonts w:hint="eastAsia"/>
        </w:rPr>
        <w:t>本合同有效期为甲乙双方自签署之日起至该工程项目设计使用年限之日止。</w:t>
      </w:r>
    </w:p>
    <w:p w14:paraId="36A6A511">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第七条</w:t>
      </w:r>
      <w:r>
        <w:t xml:space="preserve">  </w:t>
      </w:r>
      <w:r>
        <w:rPr>
          <w:rFonts w:hint="eastAsia"/>
        </w:rPr>
        <w:t>本合同作为</w:t>
      </w:r>
      <w:r>
        <w:rPr>
          <w:u w:val="single"/>
        </w:rPr>
        <w:t xml:space="preserve">  </w:t>
      </w:r>
      <w:r>
        <w:rPr>
          <w:rFonts w:hint="eastAsia"/>
          <w:u w:val="single"/>
        </w:rPr>
        <w:t>（项目名称）</w:t>
      </w:r>
      <w:r>
        <w:rPr>
          <w:u w:val="single"/>
        </w:rPr>
        <w:t xml:space="preserve">  </w:t>
      </w:r>
      <w:r>
        <w:rPr>
          <w:rFonts w:hint="eastAsia"/>
        </w:rPr>
        <w:t>第</w:t>
      </w:r>
      <w:r>
        <w:rPr>
          <w:u w:val="single"/>
        </w:rPr>
        <w:t xml:space="preserve">    </w:t>
      </w:r>
      <w:r>
        <w:rPr>
          <w:rFonts w:hint="eastAsia"/>
        </w:rPr>
        <w:t>标段施工合同附件，与工程施工合同具有同等的法律效力，经合同双方签署后立即生效。</w:t>
      </w:r>
    </w:p>
    <w:p w14:paraId="086111D7">
      <w:pPr>
        <w:keepNext w:val="0"/>
        <w:keepLines w:val="0"/>
        <w:pageBreakBefore w:val="0"/>
        <w:widowControl w:val="0"/>
        <w:kinsoku/>
        <w:wordWrap/>
        <w:overflowPunct/>
        <w:topLinePunct w:val="0"/>
        <w:autoSpaceDE/>
        <w:autoSpaceDN/>
        <w:bidi w:val="0"/>
        <w:adjustRightInd/>
        <w:snapToGrid/>
        <w:spacing w:line="380" w:lineRule="exact"/>
        <w:ind w:firstLine="482"/>
        <w:textAlignment w:val="auto"/>
      </w:pPr>
      <w:r>
        <w:rPr>
          <w:rFonts w:hint="eastAsia"/>
        </w:rPr>
        <w:t>第八条</w:t>
      </w:r>
      <w:r>
        <w:t xml:space="preserve">  </w:t>
      </w:r>
      <w:r>
        <w:rPr>
          <w:rFonts w:hint="eastAsia"/>
          <w:szCs w:val="21"/>
        </w:rPr>
        <w:t>本合同正本二份、副本</w:t>
      </w:r>
      <w:r>
        <w:rPr>
          <w:szCs w:val="21"/>
          <w:u w:val="single"/>
        </w:rPr>
        <w:t xml:space="preserve">     </w:t>
      </w:r>
      <w:r>
        <w:rPr>
          <w:rFonts w:hint="eastAsia"/>
          <w:szCs w:val="21"/>
        </w:rPr>
        <w:t>份，合同双方各执正本一份，副本</w:t>
      </w:r>
      <w:r>
        <w:rPr>
          <w:szCs w:val="21"/>
          <w:u w:val="single"/>
        </w:rPr>
        <w:t xml:space="preserve">     </w:t>
      </w:r>
      <w:r>
        <w:rPr>
          <w:rFonts w:hint="eastAsia"/>
          <w:szCs w:val="21"/>
        </w:rPr>
        <w:t>份，当正本与副本的内容不一致时，以正本为准</w:t>
      </w:r>
      <w:r>
        <w:rPr>
          <w:rFonts w:hint="eastAsia"/>
        </w:rPr>
        <w:t>。</w:t>
      </w:r>
    </w:p>
    <w:p w14:paraId="0086E11B">
      <w:pPr>
        <w:spacing w:line="360" w:lineRule="auto"/>
      </w:pPr>
    </w:p>
    <w:p w14:paraId="03CFA81F">
      <w:pPr>
        <w:tabs>
          <w:tab w:val="left" w:pos="2790"/>
        </w:tabs>
        <w:spacing w:line="360" w:lineRule="auto"/>
        <w:ind w:firstLine="420" w:firstLineChars="200"/>
        <w:rPr>
          <w:szCs w:val="21"/>
        </w:rPr>
      </w:pPr>
    </w:p>
    <w:p w14:paraId="11E0B8B7">
      <w:pPr>
        <w:tabs>
          <w:tab w:val="left" w:pos="2790"/>
        </w:tabs>
        <w:spacing w:line="360" w:lineRule="auto"/>
        <w:rPr>
          <w:szCs w:val="21"/>
        </w:rPr>
      </w:pPr>
      <w:r>
        <w:rPr>
          <w:rFonts w:hint="eastAsia"/>
          <w:szCs w:val="21"/>
        </w:rPr>
        <w:t>发包人：</w:t>
      </w:r>
      <w:r>
        <w:rPr>
          <w:szCs w:val="21"/>
          <w:u w:val="single"/>
        </w:rPr>
        <w:t xml:space="preserve">                  </w:t>
      </w:r>
      <w:r>
        <w:rPr>
          <w:szCs w:val="21"/>
        </w:rPr>
        <w:t xml:space="preserve"> </w:t>
      </w:r>
      <w:r>
        <w:rPr>
          <w:rFonts w:hint="eastAsia"/>
          <w:szCs w:val="21"/>
        </w:rPr>
        <w:t>（盖单位章）</w:t>
      </w:r>
      <w:r>
        <w:rPr>
          <w:szCs w:val="21"/>
        </w:rPr>
        <w:t xml:space="preserve">     </w:t>
      </w:r>
      <w:r>
        <w:rPr>
          <w:rFonts w:hint="eastAsia"/>
          <w:szCs w:val="21"/>
        </w:rPr>
        <w:t>承包人：</w:t>
      </w:r>
      <w:r>
        <w:rPr>
          <w:szCs w:val="21"/>
          <w:u w:val="single"/>
        </w:rPr>
        <w:t xml:space="preserve">                  </w:t>
      </w:r>
      <w:r>
        <w:rPr>
          <w:szCs w:val="21"/>
        </w:rPr>
        <w:t xml:space="preserve"> </w:t>
      </w:r>
      <w:r>
        <w:rPr>
          <w:rFonts w:hint="eastAsia"/>
          <w:szCs w:val="21"/>
        </w:rPr>
        <w:t>（盖单位章）</w:t>
      </w:r>
    </w:p>
    <w:p w14:paraId="67EFCAF7">
      <w:pPr>
        <w:tabs>
          <w:tab w:val="left" w:pos="2790"/>
        </w:tabs>
        <w:spacing w:line="360" w:lineRule="auto"/>
        <w:rPr>
          <w:szCs w:val="21"/>
        </w:rPr>
      </w:pPr>
      <w:r>
        <w:rPr>
          <w:rFonts w:hint="eastAsia"/>
          <w:szCs w:val="21"/>
        </w:rPr>
        <w:t>法定代表人或其委托代理人：</w:t>
      </w:r>
      <w:r>
        <w:rPr>
          <w:szCs w:val="21"/>
          <w:u w:val="single"/>
        </w:rPr>
        <w:t xml:space="preserve">     </w:t>
      </w:r>
      <w:r>
        <w:rPr>
          <w:rFonts w:hint="eastAsia"/>
          <w:szCs w:val="21"/>
        </w:rPr>
        <w:t>（签字）</w:t>
      </w:r>
      <w:r>
        <w:rPr>
          <w:szCs w:val="21"/>
        </w:rPr>
        <w:t xml:space="preserve">     </w:t>
      </w:r>
      <w:r>
        <w:rPr>
          <w:rFonts w:hint="eastAsia"/>
          <w:szCs w:val="21"/>
        </w:rPr>
        <w:t>法定代表人或其委托代理人：</w:t>
      </w:r>
      <w:r>
        <w:rPr>
          <w:szCs w:val="21"/>
          <w:u w:val="single"/>
        </w:rPr>
        <w:t xml:space="preserve">     </w:t>
      </w:r>
      <w:r>
        <w:rPr>
          <w:rFonts w:hint="eastAsia"/>
          <w:szCs w:val="21"/>
        </w:rPr>
        <w:t>（签字）</w:t>
      </w:r>
    </w:p>
    <w:p w14:paraId="59031076">
      <w:pPr>
        <w:tabs>
          <w:tab w:val="left" w:pos="2790"/>
        </w:tabs>
        <w:spacing w:line="360" w:lineRule="auto"/>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BB2B816">
      <w:pPr>
        <w:tabs>
          <w:tab w:val="left" w:pos="2790"/>
        </w:tabs>
        <w:spacing w:line="360" w:lineRule="auto"/>
        <w:outlineLvl w:val="2"/>
        <w:rPr>
          <w:sz w:val="28"/>
          <w:szCs w:val="28"/>
        </w:rPr>
      </w:pPr>
      <w:r>
        <w:rPr>
          <w:szCs w:val="21"/>
        </w:rPr>
        <w:br w:type="page"/>
      </w:r>
      <w:bookmarkStart w:id="369" w:name="_Toc539"/>
      <w:bookmarkStart w:id="370" w:name="_Toc154675148"/>
      <w:r>
        <w:rPr>
          <w:rFonts w:hint="eastAsia"/>
          <w:sz w:val="28"/>
          <w:szCs w:val="28"/>
        </w:rPr>
        <w:t>附件十一</w:t>
      </w:r>
      <w:r>
        <w:rPr>
          <w:sz w:val="28"/>
          <w:szCs w:val="28"/>
        </w:rPr>
        <w:t xml:space="preserve">  </w:t>
      </w:r>
      <w:r>
        <w:rPr>
          <w:rFonts w:hint="eastAsia"/>
          <w:sz w:val="28"/>
          <w:szCs w:val="28"/>
        </w:rPr>
        <w:t>项目图纸资料保密承诺书格式</w:t>
      </w:r>
      <w:bookmarkEnd w:id="369"/>
      <w:bookmarkEnd w:id="370"/>
    </w:p>
    <w:p w14:paraId="67FDF4A3">
      <w:pPr>
        <w:spacing w:line="360" w:lineRule="auto"/>
        <w:jc w:val="center"/>
      </w:pPr>
    </w:p>
    <w:p w14:paraId="29083FB4">
      <w:pPr>
        <w:tabs>
          <w:tab w:val="left" w:pos="2790"/>
        </w:tabs>
        <w:spacing w:line="360" w:lineRule="auto"/>
        <w:jc w:val="center"/>
        <w:rPr>
          <w:rFonts w:eastAsia="黑体"/>
          <w:sz w:val="28"/>
          <w:szCs w:val="28"/>
        </w:rPr>
      </w:pPr>
      <w:r>
        <w:rPr>
          <w:rFonts w:hint="eastAsia" w:eastAsia="黑体"/>
          <w:sz w:val="28"/>
          <w:szCs w:val="28"/>
        </w:rPr>
        <w:t>项目图纸资料保密承诺书</w:t>
      </w:r>
    </w:p>
    <w:p w14:paraId="28782E47">
      <w:pPr>
        <w:spacing w:line="360" w:lineRule="auto"/>
        <w:jc w:val="center"/>
      </w:pPr>
    </w:p>
    <w:p w14:paraId="48637895">
      <w:pPr>
        <w:spacing w:line="360" w:lineRule="auto"/>
        <w:jc w:val="center"/>
      </w:pPr>
    </w:p>
    <w:p w14:paraId="3CAE941D">
      <w:pPr>
        <w:spacing w:line="360" w:lineRule="auto"/>
        <w:ind w:firstLine="480"/>
      </w:pPr>
    </w:p>
    <w:p w14:paraId="74ECA373">
      <w:pPr>
        <w:spacing w:line="360" w:lineRule="auto"/>
        <w:ind w:firstLine="480"/>
      </w:pPr>
      <w:r>
        <w:t>______________________</w:t>
      </w:r>
      <w:r>
        <w:rPr>
          <w:rFonts w:hint="eastAsia"/>
        </w:rPr>
        <w:t>（承包人名称）将完善</w:t>
      </w:r>
      <w:r>
        <w:t>________________________</w:t>
      </w:r>
      <w:r>
        <w:rPr>
          <w:rFonts w:hint="eastAsia"/>
        </w:rPr>
        <w:t>（项目名称）工程图纸资料制作、移交、归档等管理制度，严格落实图纸资料管理要求。在本工程实施期间及验收完成后，所有图纸资料均按照内部资料管理，不通过互联网与任何单位和个人进行与本项目有关图纸资料交换传递，不通过任何途径向本项目无关方泄露和传播本项目有关图纸资料。</w:t>
      </w:r>
    </w:p>
    <w:p w14:paraId="61DCBDDF">
      <w:pPr>
        <w:spacing w:line="360" w:lineRule="auto"/>
        <w:ind w:firstLine="480"/>
      </w:pPr>
      <w:r>
        <w:rPr>
          <w:rFonts w:hint="eastAsia"/>
        </w:rPr>
        <w:t>特此承诺。</w:t>
      </w:r>
    </w:p>
    <w:p w14:paraId="16CD193F">
      <w:pPr>
        <w:spacing w:line="360" w:lineRule="auto"/>
        <w:ind w:firstLine="480"/>
      </w:pPr>
    </w:p>
    <w:p w14:paraId="12976E62">
      <w:pPr>
        <w:tabs>
          <w:tab w:val="left" w:pos="2790"/>
        </w:tabs>
        <w:spacing w:line="360" w:lineRule="auto"/>
        <w:ind w:left="4393" w:leftChars="2092"/>
        <w:rPr>
          <w:szCs w:val="21"/>
        </w:rPr>
      </w:pPr>
      <w:r>
        <w:rPr>
          <w:rFonts w:hint="eastAsia"/>
          <w:szCs w:val="21"/>
        </w:rPr>
        <w:t>承包人：</w:t>
      </w:r>
      <w:r>
        <w:rPr>
          <w:szCs w:val="21"/>
          <w:u w:val="single"/>
        </w:rPr>
        <w:t xml:space="preserve">                  </w:t>
      </w:r>
      <w:r>
        <w:rPr>
          <w:szCs w:val="21"/>
        </w:rPr>
        <w:t xml:space="preserve"> </w:t>
      </w:r>
      <w:r>
        <w:rPr>
          <w:rFonts w:hint="eastAsia"/>
          <w:szCs w:val="21"/>
        </w:rPr>
        <w:t>（盖单位章）</w:t>
      </w:r>
    </w:p>
    <w:p w14:paraId="0C91265E">
      <w:pPr>
        <w:tabs>
          <w:tab w:val="left" w:pos="2790"/>
        </w:tabs>
        <w:spacing w:line="360" w:lineRule="auto"/>
        <w:ind w:left="4393" w:leftChars="2092"/>
        <w:rPr>
          <w:szCs w:val="21"/>
        </w:rPr>
      </w:pPr>
      <w:r>
        <w:rPr>
          <w:rFonts w:hint="eastAsia"/>
          <w:szCs w:val="21"/>
        </w:rPr>
        <w:t>法定代表人或其委托代理人：</w:t>
      </w:r>
      <w:r>
        <w:rPr>
          <w:szCs w:val="21"/>
          <w:u w:val="single"/>
        </w:rPr>
        <w:t xml:space="preserve">     </w:t>
      </w:r>
      <w:r>
        <w:rPr>
          <w:rFonts w:hint="eastAsia"/>
          <w:szCs w:val="21"/>
        </w:rPr>
        <w:t>（签字）</w:t>
      </w:r>
    </w:p>
    <w:p w14:paraId="3EFAFA34">
      <w:pPr>
        <w:tabs>
          <w:tab w:val="left" w:pos="2790"/>
        </w:tabs>
        <w:spacing w:line="360" w:lineRule="auto"/>
        <w:ind w:left="4393" w:leftChars="2092"/>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2F2D9FEF">
      <w:pPr>
        <w:tabs>
          <w:tab w:val="left" w:pos="2790"/>
        </w:tabs>
        <w:spacing w:line="360" w:lineRule="auto"/>
        <w:rPr>
          <w:szCs w:val="21"/>
        </w:rPr>
      </w:pPr>
    </w:p>
    <w:p w14:paraId="3058B310">
      <w:pPr>
        <w:widowControl/>
        <w:jc w:val="left"/>
        <w:rPr>
          <w:szCs w:val="21"/>
        </w:rPr>
      </w:pPr>
      <w:r>
        <w:rPr>
          <w:szCs w:val="21"/>
        </w:rPr>
        <w:br w:type="page"/>
      </w:r>
    </w:p>
    <w:p w14:paraId="13AFFB85">
      <w:pPr>
        <w:tabs>
          <w:tab w:val="left" w:pos="2790"/>
        </w:tabs>
        <w:spacing w:line="360" w:lineRule="auto"/>
        <w:outlineLvl w:val="2"/>
        <w:rPr>
          <w:sz w:val="28"/>
          <w:szCs w:val="28"/>
        </w:rPr>
      </w:pPr>
      <w:bookmarkStart w:id="371" w:name="_Toc23208"/>
      <w:bookmarkStart w:id="372" w:name="_Toc154675149"/>
      <w:r>
        <w:rPr>
          <w:rFonts w:hint="eastAsia"/>
          <w:sz w:val="28"/>
          <w:szCs w:val="28"/>
        </w:rPr>
        <w:t>附件十二</w:t>
      </w:r>
      <w:r>
        <w:rPr>
          <w:sz w:val="28"/>
          <w:szCs w:val="28"/>
        </w:rPr>
        <w:t xml:space="preserve">  </w:t>
      </w:r>
      <w:r>
        <w:rPr>
          <w:rFonts w:hint="eastAsia"/>
          <w:sz w:val="28"/>
          <w:szCs w:val="28"/>
        </w:rPr>
        <w:t>相关人员在职承诺书格式</w:t>
      </w:r>
      <w:bookmarkEnd w:id="371"/>
      <w:bookmarkEnd w:id="372"/>
    </w:p>
    <w:p w14:paraId="5E0615CC">
      <w:pPr>
        <w:spacing w:line="360" w:lineRule="auto"/>
        <w:jc w:val="center"/>
      </w:pPr>
    </w:p>
    <w:p w14:paraId="34542BDB">
      <w:pPr>
        <w:tabs>
          <w:tab w:val="left" w:pos="2790"/>
        </w:tabs>
        <w:spacing w:line="360" w:lineRule="auto"/>
        <w:jc w:val="center"/>
        <w:rPr>
          <w:rFonts w:eastAsia="黑体"/>
          <w:sz w:val="28"/>
          <w:szCs w:val="28"/>
        </w:rPr>
      </w:pPr>
      <w:r>
        <w:rPr>
          <w:rFonts w:hint="eastAsia" w:eastAsia="黑体"/>
          <w:sz w:val="28"/>
          <w:szCs w:val="28"/>
        </w:rPr>
        <w:t>承诺书</w:t>
      </w:r>
    </w:p>
    <w:p w14:paraId="7E5F5902">
      <w:pPr>
        <w:spacing w:line="360" w:lineRule="auto"/>
        <w:jc w:val="center"/>
      </w:pPr>
    </w:p>
    <w:p w14:paraId="3EDEAF9D">
      <w:pPr>
        <w:spacing w:line="360" w:lineRule="auto"/>
        <w:jc w:val="center"/>
      </w:pPr>
    </w:p>
    <w:p w14:paraId="3E748839">
      <w:pPr>
        <w:spacing w:line="360" w:lineRule="auto"/>
      </w:pPr>
      <w:r>
        <w:rPr>
          <w:rFonts w:hint="eastAsia"/>
        </w:rPr>
        <w:t>致：（发包人名称）：</w:t>
      </w:r>
    </w:p>
    <w:p w14:paraId="4B1C3928">
      <w:pPr>
        <w:spacing w:line="360" w:lineRule="auto"/>
        <w:ind w:firstLine="480"/>
      </w:pPr>
      <w:r>
        <w:rPr>
          <w:rFonts w:hint="eastAsia"/>
        </w:rPr>
        <w:t>本人作为项目经理</w:t>
      </w:r>
      <w:r>
        <w:t>/</w:t>
      </w:r>
      <w:r>
        <w:rPr>
          <w:rFonts w:hint="eastAsia"/>
        </w:rPr>
        <w:t>项目技术负责人</w:t>
      </w:r>
      <w:r>
        <w:t>/</w:t>
      </w:r>
      <w:r>
        <w:rPr>
          <w:rFonts w:hint="eastAsia"/>
        </w:rPr>
        <w:t>安全负责人，同意按</w:t>
      </w:r>
      <w:r>
        <w:rPr>
          <w:rFonts w:hint="eastAsia"/>
          <w:lang w:eastAsia="zh-CN"/>
        </w:rPr>
        <w:t>发包文件</w:t>
      </w:r>
      <w:r>
        <w:rPr>
          <w:rFonts w:hint="eastAsia"/>
        </w:rPr>
        <w:t>规定到位，若有更换，同意按《浙江省公路水运建设工程从业主体信用评价管理细则》扣分或纳入负面清单管理。</w:t>
      </w:r>
    </w:p>
    <w:p w14:paraId="5B6BE01C">
      <w:pPr>
        <w:spacing w:line="360" w:lineRule="auto"/>
        <w:ind w:firstLine="480"/>
      </w:pPr>
      <w:r>
        <w:rPr>
          <w:rFonts w:hint="eastAsia"/>
        </w:rPr>
        <w:t>特此承诺。</w:t>
      </w:r>
    </w:p>
    <w:p w14:paraId="433BB8C8">
      <w:pPr>
        <w:spacing w:line="360" w:lineRule="auto"/>
        <w:ind w:firstLine="480"/>
      </w:pPr>
    </w:p>
    <w:p w14:paraId="0ED5B48D">
      <w:pPr>
        <w:tabs>
          <w:tab w:val="left" w:pos="2790"/>
        </w:tabs>
        <w:spacing w:line="360" w:lineRule="auto"/>
        <w:ind w:left="4393" w:leftChars="2092"/>
        <w:rPr>
          <w:szCs w:val="21"/>
        </w:rPr>
      </w:pPr>
      <w:r>
        <w:rPr>
          <w:rFonts w:hint="eastAsia"/>
          <w:szCs w:val="21"/>
        </w:rPr>
        <w:t>承诺人：</w:t>
      </w:r>
      <w:r>
        <w:rPr>
          <w:szCs w:val="21"/>
          <w:u w:val="single"/>
        </w:rPr>
        <w:t xml:space="preserve">     </w:t>
      </w:r>
      <w:r>
        <w:rPr>
          <w:rFonts w:hint="eastAsia"/>
          <w:szCs w:val="21"/>
        </w:rPr>
        <w:t>（签字）</w:t>
      </w:r>
    </w:p>
    <w:p w14:paraId="3CBCC013">
      <w:pPr>
        <w:tabs>
          <w:tab w:val="left" w:pos="2790"/>
        </w:tabs>
        <w:spacing w:line="360" w:lineRule="auto"/>
        <w:ind w:left="4393" w:leftChars="2092"/>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4F773D33">
      <w:pPr>
        <w:tabs>
          <w:tab w:val="left" w:pos="2790"/>
        </w:tabs>
        <w:spacing w:line="360" w:lineRule="auto"/>
        <w:rPr>
          <w:szCs w:val="21"/>
        </w:rPr>
      </w:pPr>
    </w:p>
    <w:p w14:paraId="5D6CBE64">
      <w:pPr>
        <w:tabs>
          <w:tab w:val="left" w:pos="2790"/>
        </w:tabs>
        <w:spacing w:line="360" w:lineRule="auto"/>
        <w:rPr>
          <w:szCs w:val="21"/>
        </w:rPr>
      </w:pPr>
      <w:r>
        <w:rPr>
          <w:rFonts w:hint="eastAsia"/>
          <w:szCs w:val="21"/>
        </w:rPr>
        <w:t>注：项目经理、项目技术负责人、安全负责人应分别作出承诺。</w:t>
      </w:r>
    </w:p>
    <w:p w14:paraId="754D2507">
      <w:pPr>
        <w:tabs>
          <w:tab w:val="left" w:pos="2790"/>
        </w:tabs>
        <w:spacing w:line="360" w:lineRule="auto"/>
        <w:rPr>
          <w:szCs w:val="21"/>
        </w:rPr>
      </w:pPr>
    </w:p>
    <w:p w14:paraId="6FFD094A">
      <w:pPr>
        <w:spacing w:line="360" w:lineRule="auto"/>
        <w:rPr>
          <w:sz w:val="24"/>
        </w:rPr>
        <w:sectPr>
          <w:headerReference r:id="rId14" w:type="default"/>
          <w:footnotePr>
            <w:numFmt w:val="decimalEnclosedCircleChinese"/>
            <w:numRestart w:val="eachPage"/>
          </w:footnotePr>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16E872D1">
      <w:pPr>
        <w:spacing w:line="360" w:lineRule="auto"/>
      </w:pPr>
    </w:p>
    <w:p w14:paraId="70864E1A">
      <w:pPr>
        <w:spacing w:line="360" w:lineRule="auto"/>
      </w:pPr>
    </w:p>
    <w:p w14:paraId="32CE3AB9">
      <w:pPr>
        <w:spacing w:line="360" w:lineRule="auto"/>
      </w:pPr>
    </w:p>
    <w:p w14:paraId="45FECA0C">
      <w:pPr>
        <w:spacing w:line="360" w:lineRule="auto"/>
      </w:pPr>
    </w:p>
    <w:p w14:paraId="1769A65C">
      <w:pPr>
        <w:spacing w:line="360" w:lineRule="auto"/>
      </w:pPr>
    </w:p>
    <w:p w14:paraId="17C0D69F">
      <w:pPr>
        <w:pStyle w:val="4"/>
        <w:jc w:val="center"/>
        <w:rPr>
          <w:rFonts w:hint="default" w:eastAsia="黑体"/>
          <w:sz w:val="44"/>
          <w:szCs w:val="44"/>
          <w:lang w:val="en-US" w:eastAsia="zh-CN"/>
        </w:rPr>
      </w:pPr>
      <w:bookmarkStart w:id="373" w:name="_Toc1136"/>
      <w:r>
        <w:rPr>
          <w:rFonts w:hint="eastAsia" w:ascii="Times New Roman" w:hAnsi="Times New Roman" w:eastAsia="黑体" w:cs="Times New Roman"/>
          <w:sz w:val="48"/>
          <w:szCs w:val="48"/>
        </w:rPr>
        <w:t>第五</w:t>
      </w:r>
      <w:r>
        <w:rPr>
          <w:rFonts w:hint="eastAsia" w:eastAsia="黑体"/>
          <w:sz w:val="44"/>
          <w:szCs w:val="44"/>
        </w:rPr>
        <w:t>章</w:t>
      </w:r>
      <w:r>
        <w:rPr>
          <w:rFonts w:eastAsia="黑体"/>
          <w:sz w:val="44"/>
          <w:szCs w:val="44"/>
        </w:rPr>
        <w:t xml:space="preserve">  </w:t>
      </w:r>
      <w:r>
        <w:rPr>
          <w:rFonts w:hint="eastAsia" w:eastAsia="黑体"/>
          <w:sz w:val="44"/>
          <w:szCs w:val="44"/>
          <w:lang w:val="en-US" w:eastAsia="zh-CN"/>
        </w:rPr>
        <w:t>发包控制价</w:t>
      </w:r>
      <w:bookmarkEnd w:id="373"/>
    </w:p>
    <w:p w14:paraId="1028A0BB">
      <w:pPr>
        <w:spacing w:line="360" w:lineRule="auto"/>
        <w:ind w:firstLine="560" w:firstLineChars="200"/>
        <w:rPr>
          <w:rFonts w:hint="eastAsia" w:ascii="宋体" w:hAnsi="宋体"/>
          <w:i/>
          <w:color w:val="000000"/>
          <w:sz w:val="28"/>
          <w:szCs w:val="28"/>
        </w:rPr>
      </w:pPr>
    </w:p>
    <w:p w14:paraId="5251DC7F">
      <w:pPr>
        <w:spacing w:line="360" w:lineRule="auto"/>
        <w:ind w:left="0" w:leftChars="0" w:firstLine="0" w:firstLineChars="0"/>
        <w:jc w:val="center"/>
        <w:rPr>
          <w:rFonts w:eastAsia="黑体"/>
          <w:sz w:val="44"/>
          <w:szCs w:val="44"/>
        </w:rPr>
      </w:pPr>
      <w:r>
        <w:rPr>
          <w:rFonts w:hint="eastAsia" w:ascii="宋体" w:hAnsi="宋体"/>
          <w:i/>
          <w:color w:val="000000"/>
          <w:sz w:val="28"/>
          <w:szCs w:val="28"/>
        </w:rPr>
        <w:t>（内容由发包人提供）</w:t>
      </w:r>
    </w:p>
    <w:p w14:paraId="018D42DD">
      <w:pPr>
        <w:spacing w:line="360" w:lineRule="auto"/>
        <w:rPr>
          <w:rFonts w:eastAsia="黑体"/>
          <w:sz w:val="48"/>
          <w:szCs w:val="48"/>
        </w:rPr>
      </w:pPr>
    </w:p>
    <w:p w14:paraId="7B23C6C3">
      <w:pPr>
        <w:spacing w:line="360" w:lineRule="auto"/>
        <w:rPr>
          <w:rFonts w:eastAsia="黑体"/>
          <w:sz w:val="48"/>
          <w:szCs w:val="48"/>
        </w:rPr>
      </w:pPr>
    </w:p>
    <w:p w14:paraId="446E301F">
      <w:pPr>
        <w:spacing w:line="360" w:lineRule="auto"/>
        <w:rPr>
          <w:rFonts w:eastAsia="黑体"/>
          <w:sz w:val="48"/>
          <w:szCs w:val="48"/>
        </w:rPr>
      </w:pPr>
    </w:p>
    <w:p w14:paraId="36780056">
      <w:pPr>
        <w:spacing w:line="360" w:lineRule="auto"/>
        <w:rPr>
          <w:rFonts w:eastAsia="黑体"/>
          <w:sz w:val="48"/>
          <w:szCs w:val="48"/>
        </w:rPr>
      </w:pPr>
    </w:p>
    <w:p w14:paraId="4490296F">
      <w:pPr>
        <w:spacing w:line="360" w:lineRule="auto"/>
        <w:rPr>
          <w:rFonts w:eastAsia="黑体"/>
          <w:sz w:val="48"/>
          <w:szCs w:val="48"/>
        </w:rPr>
      </w:pPr>
    </w:p>
    <w:p w14:paraId="29AB8B89">
      <w:pPr>
        <w:spacing w:line="360" w:lineRule="auto"/>
        <w:rPr>
          <w:rFonts w:eastAsia="黑体"/>
          <w:sz w:val="48"/>
          <w:szCs w:val="48"/>
        </w:rPr>
      </w:pPr>
    </w:p>
    <w:p w14:paraId="6D6030E1">
      <w:pPr>
        <w:sectPr>
          <w:headerReference r:id="rId15" w:type="default"/>
          <w:footnotePr>
            <w:numFmt w:val="decimalEnclosedCircleChinese"/>
            <w:numRestart w:val="eachPage"/>
          </w:footnotePr>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24FAFFE9">
      <w:pPr>
        <w:spacing w:line="360" w:lineRule="auto"/>
      </w:pPr>
    </w:p>
    <w:p w14:paraId="263E59FE">
      <w:pPr>
        <w:spacing w:line="360" w:lineRule="auto"/>
      </w:pPr>
    </w:p>
    <w:p w14:paraId="4911ECE4">
      <w:pPr>
        <w:spacing w:line="360" w:lineRule="auto"/>
      </w:pPr>
    </w:p>
    <w:p w14:paraId="2990847C">
      <w:pPr>
        <w:spacing w:line="360" w:lineRule="auto"/>
      </w:pPr>
    </w:p>
    <w:p w14:paraId="507ABF9E">
      <w:pPr>
        <w:spacing w:line="360" w:lineRule="auto"/>
      </w:pPr>
    </w:p>
    <w:p w14:paraId="1992C5B7">
      <w:pPr>
        <w:pStyle w:val="4"/>
        <w:jc w:val="center"/>
        <w:rPr>
          <w:rFonts w:eastAsia="黑体"/>
          <w:sz w:val="48"/>
          <w:szCs w:val="48"/>
        </w:rPr>
      </w:pPr>
      <w:bookmarkStart w:id="374" w:name="_Toc1291"/>
      <w:bookmarkStart w:id="375" w:name="_Toc25611"/>
      <w:bookmarkStart w:id="376" w:name="_Toc28107"/>
      <w:bookmarkStart w:id="377" w:name="_Toc154675152"/>
      <w:r>
        <w:rPr>
          <w:rFonts w:hint="eastAsia" w:eastAsia="黑体"/>
          <w:sz w:val="48"/>
          <w:szCs w:val="48"/>
        </w:rPr>
        <w:t>第六章</w:t>
      </w:r>
      <w:r>
        <w:rPr>
          <w:rFonts w:eastAsia="黑体"/>
          <w:sz w:val="48"/>
          <w:szCs w:val="48"/>
        </w:rPr>
        <w:t xml:space="preserve">  </w:t>
      </w:r>
      <w:r>
        <w:rPr>
          <w:rFonts w:hint="eastAsia" w:eastAsia="黑体"/>
          <w:sz w:val="48"/>
          <w:szCs w:val="48"/>
        </w:rPr>
        <w:t>图纸</w:t>
      </w:r>
      <w:bookmarkEnd w:id="374"/>
      <w:bookmarkEnd w:id="375"/>
      <w:bookmarkEnd w:id="376"/>
      <w:bookmarkEnd w:id="377"/>
    </w:p>
    <w:p w14:paraId="6A79E9E8">
      <w:pPr>
        <w:spacing w:line="360" w:lineRule="auto"/>
        <w:rPr>
          <w:rFonts w:hint="eastAsia"/>
          <w:lang w:val="en-US" w:eastAsia="zh-CN"/>
        </w:rPr>
      </w:pPr>
    </w:p>
    <w:p w14:paraId="11489AA2">
      <w:pPr>
        <w:spacing w:line="360" w:lineRule="auto"/>
        <w:rPr>
          <w:rFonts w:hint="eastAsia"/>
          <w:lang w:val="en-US" w:eastAsia="zh-CN"/>
        </w:rPr>
      </w:pPr>
    </w:p>
    <w:p w14:paraId="45166BAD">
      <w:pPr>
        <w:spacing w:line="360" w:lineRule="auto"/>
        <w:ind w:left="0" w:leftChars="0" w:firstLine="0" w:firstLineChars="0"/>
        <w:jc w:val="center"/>
        <w:rPr>
          <w:rFonts w:eastAsia="黑体"/>
          <w:sz w:val="44"/>
          <w:szCs w:val="44"/>
        </w:rPr>
      </w:pPr>
      <w:r>
        <w:rPr>
          <w:rFonts w:hint="eastAsia" w:ascii="宋体" w:hAnsi="宋体"/>
          <w:i/>
          <w:color w:val="000000"/>
          <w:sz w:val="28"/>
          <w:szCs w:val="28"/>
        </w:rPr>
        <w:t>（内容由发包人提供）</w:t>
      </w:r>
    </w:p>
    <w:p w14:paraId="3BFBD28B">
      <w:pPr>
        <w:spacing w:line="360" w:lineRule="auto"/>
        <w:rPr>
          <w:rFonts w:hint="eastAsia"/>
          <w:lang w:val="en-US" w:eastAsia="zh-CN"/>
        </w:rPr>
      </w:pPr>
    </w:p>
    <w:p w14:paraId="2207DADB">
      <w:pPr>
        <w:spacing w:line="360" w:lineRule="auto"/>
        <w:rPr>
          <w:rFonts w:hint="eastAsia"/>
          <w:lang w:val="en-US" w:eastAsia="zh-CN"/>
        </w:rPr>
      </w:pPr>
    </w:p>
    <w:p w14:paraId="25296598">
      <w:pPr>
        <w:spacing w:line="360" w:lineRule="auto"/>
        <w:rPr>
          <w:rFonts w:hint="eastAsia" w:eastAsia="宋体"/>
          <w:lang w:val="en-US" w:eastAsia="zh-CN"/>
        </w:rPr>
      </w:pPr>
    </w:p>
    <w:p w14:paraId="5C120623">
      <w:pPr>
        <w:spacing w:line="360" w:lineRule="auto"/>
        <w:sectPr>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1FBBF41A">
      <w:pPr>
        <w:spacing w:line="360" w:lineRule="auto"/>
      </w:pPr>
    </w:p>
    <w:p w14:paraId="0AEF6D6F">
      <w:pPr>
        <w:spacing w:line="360" w:lineRule="auto"/>
      </w:pPr>
    </w:p>
    <w:p w14:paraId="5766F029">
      <w:pPr>
        <w:spacing w:line="360" w:lineRule="auto"/>
      </w:pPr>
    </w:p>
    <w:p w14:paraId="52E76F7A">
      <w:pPr>
        <w:spacing w:line="360" w:lineRule="auto"/>
      </w:pPr>
    </w:p>
    <w:p w14:paraId="09BDE26E">
      <w:pPr>
        <w:spacing w:line="360" w:lineRule="auto"/>
      </w:pPr>
    </w:p>
    <w:p w14:paraId="753E20C8">
      <w:pPr>
        <w:spacing w:line="360" w:lineRule="auto"/>
      </w:pPr>
    </w:p>
    <w:p w14:paraId="23217E75">
      <w:pPr>
        <w:spacing w:line="360" w:lineRule="auto"/>
      </w:pPr>
    </w:p>
    <w:p w14:paraId="1153231B">
      <w:pPr>
        <w:spacing w:line="360" w:lineRule="auto"/>
      </w:pPr>
    </w:p>
    <w:p w14:paraId="3B53B364">
      <w:pPr>
        <w:spacing w:line="360" w:lineRule="auto"/>
      </w:pPr>
    </w:p>
    <w:p w14:paraId="1D06C24B">
      <w:pPr>
        <w:spacing w:line="360" w:lineRule="auto"/>
      </w:pPr>
    </w:p>
    <w:p w14:paraId="00B5A53B">
      <w:pPr>
        <w:pStyle w:val="4"/>
        <w:jc w:val="center"/>
        <w:rPr>
          <w:rFonts w:eastAsia="黑体"/>
          <w:sz w:val="48"/>
          <w:szCs w:val="48"/>
        </w:rPr>
      </w:pPr>
      <w:bookmarkStart w:id="378" w:name="_Toc7205"/>
      <w:bookmarkStart w:id="379" w:name="_Toc7926"/>
      <w:bookmarkStart w:id="380" w:name="_Toc28835"/>
      <w:bookmarkStart w:id="381" w:name="_Toc154675154"/>
      <w:r>
        <w:rPr>
          <w:rFonts w:hint="eastAsia" w:eastAsia="黑体"/>
          <w:sz w:val="48"/>
          <w:szCs w:val="48"/>
        </w:rPr>
        <w:t>第七章</w:t>
      </w:r>
      <w:r>
        <w:rPr>
          <w:rFonts w:eastAsia="黑体"/>
          <w:sz w:val="48"/>
          <w:szCs w:val="48"/>
        </w:rPr>
        <w:t xml:space="preserve">  </w:t>
      </w:r>
      <w:r>
        <w:rPr>
          <w:rFonts w:hint="eastAsia" w:eastAsia="黑体"/>
          <w:sz w:val="48"/>
          <w:szCs w:val="48"/>
        </w:rPr>
        <w:t>技术规范</w:t>
      </w:r>
      <w:bookmarkEnd w:id="378"/>
      <w:bookmarkEnd w:id="379"/>
      <w:bookmarkEnd w:id="380"/>
      <w:bookmarkEnd w:id="381"/>
    </w:p>
    <w:p w14:paraId="1CE10D64"/>
    <w:p w14:paraId="4C740858">
      <w:pPr>
        <w:sectPr>
          <w:headerReference r:id="rId16" w:type="default"/>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3AEA16D1">
      <w:pPr>
        <w:spacing w:line="360" w:lineRule="auto"/>
        <w:rPr>
          <w:sz w:val="44"/>
        </w:rPr>
      </w:pPr>
    </w:p>
    <w:p w14:paraId="6735D2CA">
      <w:pPr>
        <w:pStyle w:val="5"/>
        <w:jc w:val="center"/>
        <w:rPr>
          <w:b w:val="0"/>
        </w:rPr>
      </w:pPr>
      <w:bookmarkStart w:id="382" w:name="_Toc154675155"/>
      <w:bookmarkStart w:id="383" w:name="_Toc12438"/>
      <w:bookmarkStart w:id="384" w:name="_Toc32066"/>
      <w:r>
        <w:rPr>
          <w:rFonts w:hint="eastAsia"/>
          <w:b w:val="0"/>
        </w:rPr>
        <w:t>（一）</w:t>
      </w:r>
      <w:r>
        <w:rPr>
          <w:b w:val="0"/>
        </w:rPr>
        <w:t xml:space="preserve"> </w:t>
      </w:r>
      <w:r>
        <w:rPr>
          <w:rFonts w:hint="eastAsia"/>
          <w:b w:val="0"/>
        </w:rPr>
        <w:t>通用技术规范</w:t>
      </w:r>
      <w:bookmarkEnd w:id="382"/>
      <w:bookmarkEnd w:id="383"/>
      <w:bookmarkEnd w:id="384"/>
    </w:p>
    <w:p w14:paraId="7810755D">
      <w:pPr>
        <w:spacing w:line="360" w:lineRule="auto"/>
        <w:rPr>
          <w:sz w:val="44"/>
        </w:rPr>
      </w:pPr>
    </w:p>
    <w:p w14:paraId="2EF9F2A0">
      <w:pPr>
        <w:spacing w:line="360" w:lineRule="auto"/>
      </w:pPr>
      <w:r>
        <w:t xml:space="preserve">    “</w:t>
      </w:r>
      <w:r>
        <w:rPr>
          <w:rFonts w:hint="eastAsia"/>
        </w:rPr>
        <w:t>通用技术规范</w:t>
      </w:r>
      <w:r>
        <w:t>”</w:t>
      </w:r>
      <w:r>
        <w:rPr>
          <w:rFonts w:hint="eastAsia"/>
        </w:rPr>
        <w:t>采用《公路工程标准施工招标文件》（</w:t>
      </w:r>
      <w:r>
        <w:t>2018</w:t>
      </w:r>
      <w:r>
        <w:rPr>
          <w:rFonts w:hint="eastAsia"/>
        </w:rPr>
        <w:t>年版</w:t>
      </w:r>
      <w:r>
        <w:t>·</w:t>
      </w:r>
      <w:r>
        <w:rPr>
          <w:rFonts w:hint="eastAsia"/>
        </w:rPr>
        <w:t>第二册）《技术规范》。</w:t>
      </w:r>
    </w:p>
    <w:p w14:paraId="2AB7993D">
      <w:pPr>
        <w:spacing w:line="360" w:lineRule="auto"/>
      </w:pPr>
      <w:r>
        <w:br w:type="page"/>
      </w:r>
    </w:p>
    <w:p w14:paraId="368A0836">
      <w:pPr>
        <w:pStyle w:val="5"/>
        <w:jc w:val="center"/>
        <w:rPr>
          <w:b w:val="0"/>
        </w:rPr>
      </w:pPr>
      <w:bookmarkStart w:id="385" w:name="_Toc27637"/>
      <w:bookmarkStart w:id="386" w:name="_Toc13028"/>
      <w:bookmarkStart w:id="387" w:name="_Toc154675156"/>
      <w:r>
        <w:rPr>
          <w:rFonts w:hint="eastAsia"/>
          <w:b w:val="0"/>
        </w:rPr>
        <w:t>（二）</w:t>
      </w:r>
      <w:r>
        <w:rPr>
          <w:b w:val="0"/>
        </w:rPr>
        <w:t xml:space="preserve"> </w:t>
      </w:r>
      <w:r>
        <w:rPr>
          <w:rFonts w:hint="eastAsia"/>
          <w:b w:val="0"/>
        </w:rPr>
        <w:t>项目专用技术规范</w:t>
      </w:r>
      <w:r>
        <w:rPr>
          <w:rStyle w:val="80"/>
          <w:b w:val="0"/>
          <w:vertAlign w:val="superscript"/>
        </w:rPr>
        <w:footnoteReference w:id="31"/>
      </w:r>
      <w:bookmarkEnd w:id="385"/>
      <w:bookmarkEnd w:id="386"/>
      <w:bookmarkEnd w:id="387"/>
    </w:p>
    <w:p w14:paraId="191DA235">
      <w:pPr>
        <w:spacing w:line="360" w:lineRule="auto"/>
        <w:rPr>
          <w:rFonts w:eastAsia="隶书"/>
          <w:sz w:val="44"/>
        </w:rPr>
      </w:pPr>
    </w:p>
    <w:p w14:paraId="278603DC">
      <w:pPr>
        <w:spacing w:line="360" w:lineRule="auto"/>
        <w:ind w:firstLine="420" w:firstLineChars="200"/>
      </w:pPr>
      <w:r>
        <w:rPr>
          <w:rFonts w:eastAsia="隶书"/>
        </w:rPr>
        <w:t>1</w:t>
      </w:r>
      <w:r>
        <w:rPr>
          <w:rFonts w:hint="eastAsia" w:eastAsia="隶书"/>
        </w:rPr>
        <w:t>．</w:t>
      </w:r>
      <w:r>
        <w:rPr>
          <w:rFonts w:eastAsia="隶书"/>
        </w:rPr>
        <w:t>“</w:t>
      </w:r>
      <w:r>
        <w:rPr>
          <w:rFonts w:hint="eastAsia"/>
        </w:rPr>
        <w:t>项目专用技术规范</w:t>
      </w:r>
      <w:r>
        <w:t>”</w:t>
      </w:r>
      <w:r>
        <w:rPr>
          <w:rFonts w:hint="eastAsia"/>
        </w:rPr>
        <w:t>是对</w:t>
      </w:r>
      <w:r>
        <w:t>“</w:t>
      </w:r>
      <w:r>
        <w:rPr>
          <w:rFonts w:hint="eastAsia"/>
        </w:rPr>
        <w:t>通用技术规范</w:t>
      </w:r>
      <w:r>
        <w:t>”</w:t>
      </w:r>
      <w:r>
        <w:rPr>
          <w:rFonts w:hint="eastAsia"/>
        </w:rPr>
        <w:t>的补充、修改</w:t>
      </w:r>
      <w:r>
        <w:t xml:space="preserve">, </w:t>
      </w:r>
      <w:r>
        <w:rPr>
          <w:rFonts w:hint="eastAsia"/>
        </w:rPr>
        <w:t>应对照</w:t>
      </w:r>
      <w:r>
        <w:t>“</w:t>
      </w:r>
      <w:r>
        <w:rPr>
          <w:rFonts w:hint="eastAsia"/>
        </w:rPr>
        <w:t>通用技术规范</w:t>
      </w:r>
      <w:r>
        <w:t>”</w:t>
      </w:r>
      <w:r>
        <w:rPr>
          <w:rFonts w:hint="eastAsia"/>
        </w:rPr>
        <w:t>中同一编号的章、节、条、款、项、目一起阅读和理解。本</w:t>
      </w:r>
      <w:r>
        <w:t>“</w:t>
      </w:r>
      <w:r>
        <w:rPr>
          <w:rFonts w:hint="eastAsia"/>
        </w:rPr>
        <w:t>项目专用技术规范</w:t>
      </w:r>
      <w:r>
        <w:t>”</w:t>
      </w:r>
      <w:r>
        <w:rPr>
          <w:rFonts w:hint="eastAsia"/>
        </w:rPr>
        <w:t>与</w:t>
      </w:r>
      <w:r>
        <w:t>“</w:t>
      </w:r>
      <w:r>
        <w:rPr>
          <w:rFonts w:hint="eastAsia"/>
        </w:rPr>
        <w:t>通用技术规范</w:t>
      </w:r>
      <w:r>
        <w:t>”</w:t>
      </w:r>
      <w:r>
        <w:rPr>
          <w:rFonts w:hint="eastAsia"/>
        </w:rPr>
        <w:t>有矛盾时，以本</w:t>
      </w:r>
      <w:r>
        <w:rPr>
          <w:rFonts w:eastAsia="隶书"/>
        </w:rPr>
        <w:t>“</w:t>
      </w:r>
      <w:r>
        <w:rPr>
          <w:rFonts w:hint="eastAsia"/>
        </w:rPr>
        <w:t>项目专用技术规范</w:t>
      </w:r>
      <w:r>
        <w:rPr>
          <w:rFonts w:eastAsia="隶书"/>
        </w:rPr>
        <w:t>”</w:t>
      </w:r>
      <w:r>
        <w:rPr>
          <w:rFonts w:hint="eastAsia"/>
        </w:rPr>
        <w:t>的规定为准。</w:t>
      </w:r>
    </w:p>
    <w:p w14:paraId="3F81E0A1">
      <w:pPr>
        <w:spacing w:line="360" w:lineRule="auto"/>
        <w:ind w:firstLine="420" w:firstLineChars="200"/>
      </w:pPr>
      <w:r>
        <w:t>2. “</w:t>
      </w:r>
      <w:r>
        <w:rPr>
          <w:rFonts w:hint="eastAsia"/>
        </w:rPr>
        <w:t>通用技术规范</w:t>
      </w:r>
      <w:r>
        <w:t>”</w:t>
      </w:r>
      <w:r>
        <w:rPr>
          <w:rFonts w:hint="eastAsia"/>
        </w:rPr>
        <w:t>中标准与规范更新如下：</w:t>
      </w:r>
    </w:p>
    <w:tbl>
      <w:tblPr>
        <w:tblStyle w:val="44"/>
        <w:tblW w:w="8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887"/>
        <w:gridCol w:w="4002"/>
      </w:tblGrid>
      <w:tr w14:paraId="43509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33" w:type="dxa"/>
            <w:vAlign w:val="center"/>
          </w:tcPr>
          <w:p w14:paraId="09CE0B00">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序号</w:t>
            </w:r>
          </w:p>
        </w:tc>
        <w:tc>
          <w:tcPr>
            <w:tcW w:w="3887" w:type="dxa"/>
            <w:vAlign w:val="center"/>
          </w:tcPr>
          <w:p w14:paraId="5F515D36">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原标准与规范</w:t>
            </w:r>
          </w:p>
        </w:tc>
        <w:tc>
          <w:tcPr>
            <w:tcW w:w="4002" w:type="dxa"/>
            <w:vAlign w:val="center"/>
          </w:tcPr>
          <w:p w14:paraId="7F8383E1">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更新后的标准与规范</w:t>
            </w:r>
          </w:p>
        </w:tc>
      </w:tr>
      <w:tr w14:paraId="6821B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33" w:type="dxa"/>
            <w:vAlign w:val="center"/>
          </w:tcPr>
          <w:p w14:paraId="380BB59C">
            <w:pPr>
              <w:keepNext w:val="0"/>
              <w:keepLines w:val="0"/>
              <w:pageBreakBefore w:val="0"/>
              <w:widowControl w:val="0"/>
              <w:kinsoku/>
              <w:wordWrap/>
              <w:overflowPunct/>
              <w:topLinePunct w:val="0"/>
              <w:autoSpaceDE/>
              <w:autoSpaceDN/>
              <w:bidi w:val="0"/>
              <w:adjustRightInd/>
              <w:snapToGrid/>
              <w:jc w:val="center"/>
              <w:textAlignment w:val="auto"/>
            </w:pPr>
            <w:r>
              <w:t>1</w:t>
            </w:r>
          </w:p>
        </w:tc>
        <w:tc>
          <w:tcPr>
            <w:tcW w:w="3887" w:type="dxa"/>
            <w:vAlign w:val="center"/>
          </w:tcPr>
          <w:p w14:paraId="75E163B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公路工程基桩动测技术规程》（</w:t>
            </w:r>
            <w:r>
              <w:t>JTG/T F81-01—2004</w:t>
            </w:r>
            <w:r>
              <w:rPr>
                <w:rFonts w:hint="eastAsia"/>
              </w:rPr>
              <w:t>）</w:t>
            </w:r>
          </w:p>
        </w:tc>
        <w:tc>
          <w:tcPr>
            <w:tcW w:w="4002" w:type="dxa"/>
            <w:vAlign w:val="center"/>
          </w:tcPr>
          <w:p w14:paraId="202DAF8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《公路工程基桩检测技术规程》（</w:t>
            </w:r>
            <w:r>
              <w:t>JTG/T 3512—2020</w:t>
            </w:r>
            <w:r>
              <w:rPr>
                <w:rFonts w:hint="eastAsia"/>
              </w:rPr>
              <w:t>）</w:t>
            </w:r>
          </w:p>
        </w:tc>
      </w:tr>
      <w:tr w14:paraId="38706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6BD0F1D4">
            <w:pPr>
              <w:keepNext w:val="0"/>
              <w:keepLines w:val="0"/>
              <w:pageBreakBefore w:val="0"/>
              <w:widowControl w:val="0"/>
              <w:kinsoku/>
              <w:wordWrap/>
              <w:overflowPunct/>
              <w:topLinePunct w:val="0"/>
              <w:autoSpaceDE/>
              <w:autoSpaceDN/>
              <w:bidi w:val="0"/>
              <w:adjustRightInd/>
              <w:snapToGrid/>
              <w:jc w:val="center"/>
              <w:textAlignment w:val="auto"/>
            </w:pPr>
            <w:r>
              <w:t>2</w:t>
            </w:r>
          </w:p>
        </w:tc>
        <w:tc>
          <w:tcPr>
            <w:tcW w:w="3887" w:type="dxa"/>
            <w:vAlign w:val="center"/>
          </w:tcPr>
          <w:p w14:paraId="2BF9B04E">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《公路路基施工技术规范》（</w:t>
            </w:r>
            <w:r>
              <w:t>JTG F10-2006</w:t>
            </w:r>
            <w:r>
              <w:rPr>
                <w:rFonts w:hint="eastAsia"/>
              </w:rPr>
              <w:t>）</w:t>
            </w:r>
          </w:p>
        </w:tc>
        <w:tc>
          <w:tcPr>
            <w:tcW w:w="4002" w:type="dxa"/>
            <w:vAlign w:val="center"/>
          </w:tcPr>
          <w:p w14:paraId="1174C9E3">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《公路路基施工技术规范》（</w:t>
            </w:r>
            <w:r>
              <w:t>JTG/T 3610-2019</w:t>
            </w:r>
            <w:r>
              <w:rPr>
                <w:rFonts w:hint="eastAsia"/>
              </w:rPr>
              <w:t>）</w:t>
            </w:r>
          </w:p>
        </w:tc>
      </w:tr>
      <w:tr w14:paraId="0BC7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2CB00489">
            <w:pPr>
              <w:keepNext w:val="0"/>
              <w:keepLines w:val="0"/>
              <w:pageBreakBefore w:val="0"/>
              <w:widowControl w:val="0"/>
              <w:kinsoku/>
              <w:wordWrap/>
              <w:overflowPunct/>
              <w:topLinePunct w:val="0"/>
              <w:autoSpaceDE/>
              <w:autoSpaceDN/>
              <w:bidi w:val="0"/>
              <w:adjustRightInd/>
              <w:snapToGrid/>
              <w:jc w:val="center"/>
              <w:textAlignment w:val="auto"/>
            </w:pPr>
            <w:r>
              <w:t>3</w:t>
            </w:r>
          </w:p>
        </w:tc>
        <w:tc>
          <w:tcPr>
            <w:tcW w:w="3887" w:type="dxa"/>
            <w:vAlign w:val="center"/>
          </w:tcPr>
          <w:p w14:paraId="521E5A4D">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《公路桥涵施工技术规范》（</w:t>
            </w:r>
            <w:r>
              <w:t>JTG/T F50—2011</w:t>
            </w:r>
            <w:r>
              <w:rPr>
                <w:rFonts w:hint="eastAsia"/>
              </w:rPr>
              <w:t>）</w:t>
            </w:r>
          </w:p>
        </w:tc>
        <w:tc>
          <w:tcPr>
            <w:tcW w:w="4002" w:type="dxa"/>
            <w:vAlign w:val="center"/>
          </w:tcPr>
          <w:p w14:paraId="0ABD7D80">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《公路桥涵施工技术规范》（</w:t>
            </w:r>
            <w:r>
              <w:t>JTG/T 3650—2020</w:t>
            </w:r>
            <w:r>
              <w:rPr>
                <w:rFonts w:hint="eastAsia"/>
              </w:rPr>
              <w:t>）</w:t>
            </w:r>
          </w:p>
        </w:tc>
      </w:tr>
      <w:tr w14:paraId="7E8D5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2FCFD871">
            <w:pPr>
              <w:keepNext w:val="0"/>
              <w:keepLines w:val="0"/>
              <w:pageBreakBefore w:val="0"/>
              <w:widowControl w:val="0"/>
              <w:kinsoku/>
              <w:wordWrap/>
              <w:overflowPunct/>
              <w:topLinePunct w:val="0"/>
              <w:autoSpaceDE/>
              <w:autoSpaceDN/>
              <w:bidi w:val="0"/>
              <w:adjustRightInd/>
              <w:snapToGrid/>
              <w:jc w:val="center"/>
              <w:textAlignment w:val="auto"/>
            </w:pPr>
            <w:r>
              <w:t>4</w:t>
            </w:r>
          </w:p>
        </w:tc>
        <w:tc>
          <w:tcPr>
            <w:tcW w:w="3887" w:type="dxa"/>
            <w:vAlign w:val="center"/>
          </w:tcPr>
          <w:p w14:paraId="30E2A17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《公路土工试验规程》（</w:t>
            </w:r>
            <w:r>
              <w:t>JTG E40—2007</w:t>
            </w:r>
            <w:r>
              <w:rPr>
                <w:rFonts w:hint="eastAsia"/>
              </w:rPr>
              <w:t>）</w:t>
            </w:r>
          </w:p>
        </w:tc>
        <w:tc>
          <w:tcPr>
            <w:tcW w:w="4002" w:type="dxa"/>
            <w:vAlign w:val="center"/>
          </w:tcPr>
          <w:p w14:paraId="1D30769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《公路土工试验规程》（</w:t>
            </w:r>
            <w:r>
              <w:t>JTG 3430—2020</w:t>
            </w:r>
            <w:r>
              <w:rPr>
                <w:rFonts w:hint="eastAsia"/>
              </w:rPr>
              <w:t>）</w:t>
            </w:r>
          </w:p>
        </w:tc>
      </w:tr>
      <w:tr w14:paraId="4B3EF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788816B7">
            <w:pPr>
              <w:keepNext w:val="0"/>
              <w:keepLines w:val="0"/>
              <w:pageBreakBefore w:val="0"/>
              <w:widowControl w:val="0"/>
              <w:kinsoku/>
              <w:wordWrap/>
              <w:overflowPunct/>
              <w:topLinePunct w:val="0"/>
              <w:autoSpaceDE/>
              <w:autoSpaceDN/>
              <w:bidi w:val="0"/>
              <w:adjustRightInd/>
              <w:snapToGrid/>
              <w:jc w:val="center"/>
              <w:textAlignment w:val="auto"/>
            </w:pPr>
            <w:r>
              <w:t>5</w:t>
            </w:r>
          </w:p>
        </w:tc>
        <w:tc>
          <w:tcPr>
            <w:tcW w:w="3887" w:type="dxa"/>
            <w:vAlign w:val="center"/>
          </w:tcPr>
          <w:p w14:paraId="5AF2EC83">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《公路工程物探规程》（</w:t>
            </w:r>
            <w:r>
              <w:t>JTG/T C22—2009</w:t>
            </w:r>
            <w:r>
              <w:rPr>
                <w:rFonts w:hint="eastAsia"/>
              </w:rPr>
              <w:t>）</w:t>
            </w:r>
          </w:p>
        </w:tc>
        <w:tc>
          <w:tcPr>
            <w:tcW w:w="4002" w:type="dxa"/>
            <w:vAlign w:val="center"/>
          </w:tcPr>
          <w:p w14:paraId="7AF0B431">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《公路工程物探规程》（</w:t>
            </w:r>
            <w:r>
              <w:t>JTG/T 3222—2020</w:t>
            </w:r>
            <w:r>
              <w:rPr>
                <w:rFonts w:hint="eastAsia"/>
              </w:rPr>
              <w:t>）</w:t>
            </w:r>
          </w:p>
        </w:tc>
      </w:tr>
      <w:tr w14:paraId="5608E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67E7E773">
            <w:pPr>
              <w:keepNext w:val="0"/>
              <w:keepLines w:val="0"/>
              <w:pageBreakBefore w:val="0"/>
              <w:widowControl w:val="0"/>
              <w:kinsoku/>
              <w:wordWrap/>
              <w:overflowPunct/>
              <w:topLinePunct w:val="0"/>
              <w:autoSpaceDE/>
              <w:autoSpaceDN/>
              <w:bidi w:val="0"/>
              <w:adjustRightInd/>
              <w:snapToGrid/>
              <w:jc w:val="center"/>
              <w:textAlignment w:val="auto"/>
            </w:pPr>
            <w:r>
              <w:t>6</w:t>
            </w:r>
          </w:p>
        </w:tc>
        <w:tc>
          <w:tcPr>
            <w:tcW w:w="3887" w:type="dxa"/>
            <w:vAlign w:val="center"/>
          </w:tcPr>
          <w:p w14:paraId="2F21DD3A">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《公路工程水泥及水泥混凝土试验规程》（</w:t>
            </w:r>
            <w:r>
              <w:t>JTG E30—2005</w:t>
            </w:r>
            <w:r>
              <w:rPr>
                <w:rFonts w:hint="eastAsia"/>
              </w:rPr>
              <w:t>）</w:t>
            </w:r>
          </w:p>
        </w:tc>
        <w:tc>
          <w:tcPr>
            <w:tcW w:w="4002" w:type="dxa"/>
            <w:vAlign w:val="center"/>
          </w:tcPr>
          <w:p w14:paraId="4DBCC436">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《公路工程水泥及水泥混凝土试验规程》（</w:t>
            </w:r>
            <w:r>
              <w:t>JTG 3420—2020</w:t>
            </w:r>
            <w:r>
              <w:rPr>
                <w:rFonts w:hint="eastAsia"/>
              </w:rPr>
              <w:t>）</w:t>
            </w:r>
          </w:p>
        </w:tc>
      </w:tr>
      <w:tr w14:paraId="47D5F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5CEF2042">
            <w:pPr>
              <w:keepNext w:val="0"/>
              <w:keepLines w:val="0"/>
              <w:pageBreakBefore w:val="0"/>
              <w:widowControl w:val="0"/>
              <w:kinsoku/>
              <w:wordWrap/>
              <w:overflowPunct/>
              <w:topLinePunct w:val="0"/>
              <w:autoSpaceDE/>
              <w:autoSpaceDN/>
              <w:bidi w:val="0"/>
              <w:adjustRightInd/>
              <w:snapToGrid/>
              <w:jc w:val="center"/>
              <w:textAlignment w:val="auto"/>
            </w:pPr>
            <w:r>
              <w:t>7</w:t>
            </w:r>
          </w:p>
        </w:tc>
        <w:tc>
          <w:tcPr>
            <w:tcW w:w="3887" w:type="dxa"/>
            <w:vAlign w:val="center"/>
          </w:tcPr>
          <w:p w14:paraId="33C8C353">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《公路工程质量检验评定标准</w:t>
            </w:r>
            <w:r>
              <w:t xml:space="preserve"> </w:t>
            </w:r>
            <w:r>
              <w:rPr>
                <w:rFonts w:hint="eastAsia"/>
              </w:rPr>
              <w:t>第二册</w:t>
            </w:r>
            <w:r>
              <w:t xml:space="preserve"> </w:t>
            </w:r>
            <w:r>
              <w:rPr>
                <w:rFonts w:hint="eastAsia"/>
              </w:rPr>
              <w:t>机电工程》（</w:t>
            </w:r>
            <w:r>
              <w:t>JTG F80/2—2004</w:t>
            </w:r>
            <w:r>
              <w:rPr>
                <w:rFonts w:hint="eastAsia"/>
              </w:rPr>
              <w:t>）</w:t>
            </w:r>
          </w:p>
        </w:tc>
        <w:tc>
          <w:tcPr>
            <w:tcW w:w="4002" w:type="dxa"/>
            <w:vAlign w:val="center"/>
          </w:tcPr>
          <w:p w14:paraId="30B7150B">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《公路工程质量检验评定标准</w:t>
            </w:r>
            <w:r>
              <w:t xml:space="preserve"> </w:t>
            </w:r>
            <w:r>
              <w:rPr>
                <w:rFonts w:hint="eastAsia"/>
              </w:rPr>
              <w:t>第二册</w:t>
            </w:r>
            <w:r>
              <w:t xml:space="preserve"> </w:t>
            </w:r>
            <w:r>
              <w:rPr>
                <w:rFonts w:hint="eastAsia"/>
              </w:rPr>
              <w:t>机电工程》（</w:t>
            </w:r>
            <w:r>
              <w:t>JTG 2182—2020</w:t>
            </w:r>
            <w:r>
              <w:rPr>
                <w:rFonts w:hint="eastAsia"/>
              </w:rPr>
              <w:t>）</w:t>
            </w:r>
          </w:p>
        </w:tc>
      </w:tr>
      <w:tr w14:paraId="5298F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19772FEF">
            <w:pPr>
              <w:keepNext w:val="0"/>
              <w:keepLines w:val="0"/>
              <w:pageBreakBefore w:val="0"/>
              <w:widowControl w:val="0"/>
              <w:kinsoku/>
              <w:wordWrap/>
              <w:overflowPunct/>
              <w:topLinePunct w:val="0"/>
              <w:autoSpaceDE/>
              <w:autoSpaceDN/>
              <w:bidi w:val="0"/>
              <w:adjustRightInd/>
              <w:snapToGrid/>
              <w:jc w:val="center"/>
              <w:textAlignment w:val="auto"/>
            </w:pPr>
            <w:r>
              <w:t>8</w:t>
            </w:r>
          </w:p>
        </w:tc>
        <w:tc>
          <w:tcPr>
            <w:tcW w:w="3887" w:type="dxa"/>
            <w:vAlign w:val="center"/>
          </w:tcPr>
          <w:p w14:paraId="7E14F0D1">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《公路隧道施工技术规范》（</w:t>
            </w:r>
            <w:r>
              <w:t>JTG F60—2009</w:t>
            </w:r>
            <w:r>
              <w:rPr>
                <w:rFonts w:hint="eastAsia"/>
              </w:rPr>
              <w:t>）和《公路隧道施工技术细则》（</w:t>
            </w:r>
            <w:r>
              <w:t>JTG/T F60—2009</w:t>
            </w:r>
            <w:r>
              <w:rPr>
                <w:rFonts w:hint="eastAsia"/>
              </w:rPr>
              <w:t>）</w:t>
            </w:r>
          </w:p>
        </w:tc>
        <w:tc>
          <w:tcPr>
            <w:tcW w:w="4002" w:type="dxa"/>
            <w:vAlign w:val="center"/>
          </w:tcPr>
          <w:p w14:paraId="6B9A871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《公路隧道施工技术规范》（</w:t>
            </w:r>
            <w:r>
              <w:t>JTG/T 3660—2020</w:t>
            </w:r>
            <w:r>
              <w:rPr>
                <w:rFonts w:hint="eastAsia"/>
              </w:rPr>
              <w:t>）</w:t>
            </w:r>
          </w:p>
        </w:tc>
      </w:tr>
      <w:tr w14:paraId="0FFC8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11C85788">
            <w:pPr>
              <w:keepNext w:val="0"/>
              <w:keepLines w:val="0"/>
              <w:pageBreakBefore w:val="0"/>
              <w:widowControl w:val="0"/>
              <w:kinsoku/>
              <w:wordWrap/>
              <w:overflowPunct/>
              <w:topLinePunct w:val="0"/>
              <w:autoSpaceDE/>
              <w:autoSpaceDN/>
              <w:bidi w:val="0"/>
              <w:adjustRightInd/>
              <w:snapToGrid/>
              <w:jc w:val="center"/>
              <w:textAlignment w:val="auto"/>
            </w:pPr>
            <w:r>
              <w:t>9</w:t>
            </w:r>
          </w:p>
        </w:tc>
        <w:tc>
          <w:tcPr>
            <w:tcW w:w="3887" w:type="dxa"/>
            <w:vAlign w:val="center"/>
          </w:tcPr>
          <w:p w14:paraId="018A204C">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《公路工程混凝土结构耐久性技术规范》（</w:t>
            </w:r>
            <w:r>
              <w:t>JTG/T B07-01-2006</w:t>
            </w:r>
            <w:r>
              <w:rPr>
                <w:rFonts w:hint="eastAsia"/>
              </w:rPr>
              <w:t>）</w:t>
            </w:r>
          </w:p>
        </w:tc>
        <w:tc>
          <w:tcPr>
            <w:tcW w:w="4002" w:type="dxa"/>
            <w:vAlign w:val="center"/>
          </w:tcPr>
          <w:p w14:paraId="172B182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《公路工程混凝土结构耐久性技术规范》（</w:t>
            </w:r>
            <w:r>
              <w:t>JTG/T 3310-2019</w:t>
            </w:r>
            <w:r>
              <w:rPr>
                <w:rFonts w:hint="eastAsia"/>
              </w:rPr>
              <w:t>）</w:t>
            </w:r>
          </w:p>
        </w:tc>
      </w:tr>
      <w:tr w14:paraId="0CD17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62115EFC">
            <w:pPr>
              <w:keepNext w:val="0"/>
              <w:keepLines w:val="0"/>
              <w:pageBreakBefore w:val="0"/>
              <w:widowControl w:val="0"/>
              <w:kinsoku/>
              <w:wordWrap/>
              <w:overflowPunct/>
              <w:topLinePunct w:val="0"/>
              <w:autoSpaceDE/>
              <w:autoSpaceDN/>
              <w:bidi w:val="0"/>
              <w:adjustRightInd/>
              <w:snapToGrid/>
              <w:jc w:val="center"/>
              <w:textAlignment w:val="auto"/>
            </w:pPr>
            <w:r>
              <w:t>10</w:t>
            </w:r>
          </w:p>
        </w:tc>
        <w:tc>
          <w:tcPr>
            <w:tcW w:w="3887" w:type="dxa"/>
            <w:vAlign w:val="center"/>
          </w:tcPr>
          <w:p w14:paraId="447AB6F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《钢筋混凝土用钢第</w:t>
            </w:r>
            <w:r>
              <w:t>1</w:t>
            </w:r>
            <w:r>
              <w:rPr>
                <w:rFonts w:hint="eastAsia"/>
              </w:rPr>
              <w:t>部分：热轧光圆钢筋》（</w:t>
            </w:r>
            <w:r>
              <w:t>GB1499.1-2008</w:t>
            </w:r>
            <w:r>
              <w:rPr>
                <w:rFonts w:hint="eastAsia"/>
              </w:rPr>
              <w:t>）</w:t>
            </w:r>
          </w:p>
        </w:tc>
        <w:tc>
          <w:tcPr>
            <w:tcW w:w="4002" w:type="dxa"/>
            <w:vAlign w:val="center"/>
          </w:tcPr>
          <w:p w14:paraId="70101599">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w:t>
            </w:r>
            <w:r>
              <w:t xml:space="preserve"> </w:t>
            </w:r>
            <w:r>
              <w:rPr>
                <w:rFonts w:hint="eastAsia"/>
              </w:rPr>
              <w:t>第</w:t>
            </w:r>
            <w:r>
              <w:t>1</w:t>
            </w:r>
            <w:r>
              <w:rPr>
                <w:rFonts w:hint="eastAsia"/>
              </w:rPr>
              <w:t>部分：热轧光圆钢筋》（</w:t>
            </w:r>
            <w:r>
              <w:t>GB/T 1499.1-2017</w:t>
            </w:r>
            <w:r>
              <w:rPr>
                <w:rFonts w:hint="eastAsia"/>
              </w:rPr>
              <w:t>）</w:t>
            </w:r>
          </w:p>
        </w:tc>
      </w:tr>
      <w:tr w14:paraId="464F4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7845F3D1">
            <w:pPr>
              <w:keepNext w:val="0"/>
              <w:keepLines w:val="0"/>
              <w:pageBreakBefore w:val="0"/>
              <w:widowControl w:val="0"/>
              <w:kinsoku/>
              <w:wordWrap/>
              <w:overflowPunct/>
              <w:topLinePunct w:val="0"/>
              <w:autoSpaceDE/>
              <w:autoSpaceDN/>
              <w:bidi w:val="0"/>
              <w:adjustRightInd/>
              <w:snapToGrid/>
              <w:jc w:val="center"/>
              <w:textAlignment w:val="auto"/>
            </w:pPr>
            <w:r>
              <w:t>11</w:t>
            </w:r>
          </w:p>
        </w:tc>
        <w:tc>
          <w:tcPr>
            <w:tcW w:w="3887" w:type="dxa"/>
            <w:vAlign w:val="center"/>
          </w:tcPr>
          <w:p w14:paraId="550C644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w:t>
            </w:r>
            <w:r>
              <w:t xml:space="preserve"> </w:t>
            </w:r>
            <w:r>
              <w:rPr>
                <w:rFonts w:hint="eastAsia"/>
              </w:rPr>
              <w:t>第</w:t>
            </w:r>
            <w:r>
              <w:t>2</w:t>
            </w:r>
            <w:r>
              <w:rPr>
                <w:rFonts w:hint="eastAsia"/>
              </w:rPr>
              <w:t>部分：热轧带肋钢筋》（</w:t>
            </w:r>
            <w:r>
              <w:t>GB 1499.2-2007</w:t>
            </w:r>
            <w:r>
              <w:rPr>
                <w:rFonts w:hint="eastAsia"/>
              </w:rPr>
              <w:t>）</w:t>
            </w:r>
            <w:r>
              <w:t>:</w:t>
            </w:r>
          </w:p>
        </w:tc>
        <w:tc>
          <w:tcPr>
            <w:tcW w:w="4002" w:type="dxa"/>
            <w:vAlign w:val="center"/>
          </w:tcPr>
          <w:p w14:paraId="5BB29B0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w:t>
            </w:r>
            <w:r>
              <w:t xml:space="preserve"> </w:t>
            </w:r>
            <w:r>
              <w:rPr>
                <w:rFonts w:hint="eastAsia"/>
              </w:rPr>
              <w:t>第</w:t>
            </w:r>
            <w:r>
              <w:t>2</w:t>
            </w:r>
            <w:r>
              <w:rPr>
                <w:rFonts w:hint="eastAsia"/>
              </w:rPr>
              <w:t>部分：热轧带肋钢筋》（</w:t>
            </w:r>
            <w:r>
              <w:t>GB 1499.2-2018</w:t>
            </w:r>
            <w:r>
              <w:rPr>
                <w:rFonts w:hint="eastAsia"/>
              </w:rPr>
              <w:t>）</w:t>
            </w:r>
          </w:p>
        </w:tc>
      </w:tr>
      <w:tr w14:paraId="77977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01FB70CD">
            <w:pPr>
              <w:keepNext w:val="0"/>
              <w:keepLines w:val="0"/>
              <w:pageBreakBefore w:val="0"/>
              <w:widowControl w:val="0"/>
              <w:kinsoku/>
              <w:wordWrap/>
              <w:overflowPunct/>
              <w:topLinePunct w:val="0"/>
              <w:autoSpaceDE/>
              <w:autoSpaceDN/>
              <w:bidi w:val="0"/>
              <w:adjustRightInd/>
              <w:snapToGrid/>
              <w:jc w:val="center"/>
              <w:textAlignment w:val="auto"/>
            </w:pPr>
            <w:r>
              <w:t>12</w:t>
            </w:r>
          </w:p>
        </w:tc>
        <w:tc>
          <w:tcPr>
            <w:tcW w:w="3887" w:type="dxa"/>
            <w:vAlign w:val="center"/>
          </w:tcPr>
          <w:p w14:paraId="33F985B6">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w:t>
            </w:r>
            <w:r>
              <w:t xml:space="preserve"> </w:t>
            </w:r>
            <w:r>
              <w:rPr>
                <w:rFonts w:hint="eastAsia"/>
              </w:rPr>
              <w:t>第</w:t>
            </w:r>
            <w:r>
              <w:t>3</w:t>
            </w:r>
            <w:r>
              <w:rPr>
                <w:rFonts w:hint="eastAsia"/>
              </w:rPr>
              <w:t>部分：钢筋焊接网》（</w:t>
            </w:r>
            <w:r>
              <w:t>GB/T 1499.3-2010</w:t>
            </w:r>
            <w:r>
              <w:rPr>
                <w:rFonts w:hint="eastAsia"/>
              </w:rPr>
              <w:t>）</w:t>
            </w:r>
          </w:p>
        </w:tc>
        <w:tc>
          <w:tcPr>
            <w:tcW w:w="4002" w:type="dxa"/>
            <w:vAlign w:val="center"/>
          </w:tcPr>
          <w:p w14:paraId="3BEFF3C5">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《钢筋混凝土用钢</w:t>
            </w:r>
            <w:r>
              <w:t xml:space="preserve"> </w:t>
            </w:r>
            <w:r>
              <w:rPr>
                <w:rFonts w:hint="eastAsia"/>
              </w:rPr>
              <w:t>第</w:t>
            </w:r>
            <w:r>
              <w:t>3</w:t>
            </w:r>
            <w:r>
              <w:rPr>
                <w:rFonts w:hint="eastAsia"/>
              </w:rPr>
              <w:t>部分：钢筋焊接网》（</w:t>
            </w:r>
            <w:r>
              <w:t>GB/T 1499.3-2022</w:t>
            </w:r>
            <w:r>
              <w:rPr>
                <w:rFonts w:hint="eastAsia"/>
              </w:rPr>
              <w:t>）</w:t>
            </w:r>
          </w:p>
        </w:tc>
      </w:tr>
      <w:tr w14:paraId="23AD4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312E08F8">
            <w:pPr>
              <w:keepNext w:val="0"/>
              <w:keepLines w:val="0"/>
              <w:pageBreakBefore w:val="0"/>
              <w:widowControl w:val="0"/>
              <w:kinsoku/>
              <w:wordWrap/>
              <w:overflowPunct/>
              <w:topLinePunct w:val="0"/>
              <w:autoSpaceDE/>
              <w:autoSpaceDN/>
              <w:bidi w:val="0"/>
              <w:adjustRightInd/>
              <w:snapToGrid/>
              <w:jc w:val="center"/>
              <w:textAlignment w:val="auto"/>
            </w:pPr>
            <w:r>
              <w:t>13</w:t>
            </w:r>
          </w:p>
        </w:tc>
        <w:tc>
          <w:tcPr>
            <w:tcW w:w="3887" w:type="dxa"/>
            <w:vAlign w:val="center"/>
          </w:tcPr>
          <w:p w14:paraId="43EF945A">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《预应力混凝土用螺纹钢筋》（</w:t>
            </w:r>
            <w:r>
              <w:t>GB/T20065-2006</w:t>
            </w:r>
            <w:r>
              <w:rPr>
                <w:rFonts w:hint="eastAsia"/>
              </w:rPr>
              <w:t>）</w:t>
            </w:r>
          </w:p>
        </w:tc>
        <w:tc>
          <w:tcPr>
            <w:tcW w:w="4002" w:type="dxa"/>
            <w:vAlign w:val="center"/>
          </w:tcPr>
          <w:p w14:paraId="37A9F9B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《预应力混凝土用螺纹钢筋》（</w:t>
            </w:r>
            <w:r>
              <w:t>GB/T20065-2016</w:t>
            </w:r>
            <w:r>
              <w:rPr>
                <w:rFonts w:hint="eastAsia"/>
              </w:rPr>
              <w:t>）</w:t>
            </w:r>
          </w:p>
        </w:tc>
      </w:tr>
      <w:tr w14:paraId="3CC20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21B35FCD">
            <w:pPr>
              <w:keepNext w:val="0"/>
              <w:keepLines w:val="0"/>
              <w:pageBreakBefore w:val="0"/>
              <w:widowControl w:val="0"/>
              <w:kinsoku/>
              <w:wordWrap/>
              <w:overflowPunct/>
              <w:topLinePunct w:val="0"/>
              <w:autoSpaceDE/>
              <w:autoSpaceDN/>
              <w:bidi w:val="0"/>
              <w:adjustRightInd/>
              <w:snapToGrid/>
              <w:jc w:val="center"/>
              <w:textAlignment w:val="auto"/>
            </w:pPr>
            <w:r>
              <w:t>14</w:t>
            </w:r>
          </w:p>
        </w:tc>
        <w:tc>
          <w:tcPr>
            <w:tcW w:w="3887" w:type="dxa"/>
            <w:vAlign w:val="center"/>
          </w:tcPr>
          <w:p w14:paraId="66FF2C5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《优质碳索结构钢》（</w:t>
            </w:r>
            <w:r>
              <w:t>GB/T699-1999</w:t>
            </w:r>
            <w:r>
              <w:rPr>
                <w:rFonts w:hint="eastAsia"/>
              </w:rPr>
              <w:t>）</w:t>
            </w:r>
          </w:p>
        </w:tc>
        <w:tc>
          <w:tcPr>
            <w:tcW w:w="4002" w:type="dxa"/>
            <w:vAlign w:val="center"/>
          </w:tcPr>
          <w:p w14:paraId="588F9A74">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《优质碳索结构钢》（</w:t>
            </w:r>
            <w:r>
              <w:t>GB/T699-2015</w:t>
            </w:r>
            <w:r>
              <w:rPr>
                <w:rFonts w:hint="eastAsia"/>
              </w:rPr>
              <w:t>）</w:t>
            </w:r>
          </w:p>
        </w:tc>
      </w:tr>
      <w:tr w14:paraId="67FF78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 w:type="dxa"/>
            <w:vAlign w:val="center"/>
          </w:tcPr>
          <w:p w14:paraId="0D71DC6A">
            <w:pPr>
              <w:keepNext w:val="0"/>
              <w:keepLines w:val="0"/>
              <w:pageBreakBefore w:val="0"/>
              <w:widowControl w:val="0"/>
              <w:kinsoku/>
              <w:wordWrap/>
              <w:overflowPunct/>
              <w:topLinePunct w:val="0"/>
              <w:autoSpaceDE/>
              <w:autoSpaceDN/>
              <w:bidi w:val="0"/>
              <w:adjustRightInd/>
              <w:snapToGrid/>
              <w:jc w:val="center"/>
              <w:textAlignment w:val="auto"/>
            </w:pPr>
            <w:r>
              <w:t>15</w:t>
            </w:r>
          </w:p>
        </w:tc>
        <w:tc>
          <w:tcPr>
            <w:tcW w:w="3887" w:type="dxa"/>
            <w:vAlign w:val="center"/>
          </w:tcPr>
          <w:p w14:paraId="07BFD7A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《预应力混凝土用金属波纹管》（</w:t>
            </w:r>
            <w:r>
              <w:t>JG225-2007</w:t>
            </w:r>
            <w:r>
              <w:rPr>
                <w:rFonts w:hint="eastAsia"/>
              </w:rPr>
              <w:t>）</w:t>
            </w:r>
          </w:p>
        </w:tc>
        <w:tc>
          <w:tcPr>
            <w:tcW w:w="4002" w:type="dxa"/>
            <w:vAlign w:val="center"/>
          </w:tcPr>
          <w:p w14:paraId="2D714B9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《预应力混凝土用金属波纹管》（</w:t>
            </w:r>
            <w:r>
              <w:t>JG225-2020</w:t>
            </w:r>
            <w:r>
              <w:rPr>
                <w:rFonts w:hint="eastAsia"/>
              </w:rPr>
              <w:t>）</w:t>
            </w:r>
          </w:p>
        </w:tc>
      </w:tr>
    </w:tbl>
    <w:p w14:paraId="50F6FA72">
      <w:pPr>
        <w:spacing w:line="360" w:lineRule="auto"/>
        <w:ind w:firstLine="420" w:firstLineChars="200"/>
      </w:pPr>
      <w:r>
        <w:t xml:space="preserve"> “</w:t>
      </w:r>
      <w:r>
        <w:rPr>
          <w:rFonts w:hint="eastAsia"/>
        </w:rPr>
        <w:t>通用技术规范</w:t>
      </w:r>
      <w:r>
        <w:t>”</w:t>
      </w:r>
      <w:r>
        <w:rPr>
          <w:rFonts w:hint="eastAsia"/>
        </w:rPr>
        <w:t>中规定与上述更新后的标准与规范不一致的，以更新后的标准与规范为准。</w:t>
      </w:r>
    </w:p>
    <w:p w14:paraId="6D6A0123">
      <w:pPr>
        <w:spacing w:line="360" w:lineRule="auto"/>
      </w:pPr>
    </w:p>
    <w:p w14:paraId="272343AA">
      <w:pPr>
        <w:spacing w:line="360" w:lineRule="auto"/>
        <w:ind w:firstLine="420"/>
      </w:pPr>
      <w:r>
        <w:t xml:space="preserve">2. </w:t>
      </w:r>
      <w:r>
        <w:rPr>
          <w:rFonts w:hint="eastAsia"/>
        </w:rPr>
        <w:t>本</w:t>
      </w:r>
      <w:r>
        <w:rPr>
          <w:rFonts w:eastAsia="隶书"/>
        </w:rPr>
        <w:t>“</w:t>
      </w:r>
      <w:r>
        <w:rPr>
          <w:rFonts w:hint="eastAsia"/>
        </w:rPr>
        <w:t>项目专用技术规范</w:t>
      </w:r>
      <w:r>
        <w:rPr>
          <w:rFonts w:eastAsia="隶书"/>
        </w:rPr>
        <w:t>”</w:t>
      </w:r>
      <w:r>
        <w:rPr>
          <w:rFonts w:hint="eastAsia"/>
        </w:rPr>
        <w:t>，在下列章、节对</w:t>
      </w:r>
      <w:r>
        <w:t>“</w:t>
      </w:r>
      <w:r>
        <w:rPr>
          <w:rFonts w:hint="eastAsia"/>
        </w:rPr>
        <w:t>通用技术规范</w:t>
      </w:r>
      <w:r>
        <w:t>”</w:t>
      </w:r>
      <w:r>
        <w:rPr>
          <w:rFonts w:hint="eastAsia"/>
        </w:rPr>
        <w:t>进行了补充、删除和修改</w:t>
      </w:r>
      <w:r>
        <w:rPr>
          <w:rStyle w:val="80"/>
          <w:vertAlign w:val="superscript"/>
        </w:rPr>
        <w:footnoteReference w:id="32"/>
      </w:r>
      <w:r>
        <w:rPr>
          <w:rFonts w:hint="eastAsia"/>
        </w:rPr>
        <w:t>：</w:t>
      </w:r>
    </w:p>
    <w:p w14:paraId="75FEFD78">
      <w:pPr>
        <w:spacing w:line="360" w:lineRule="auto"/>
        <w:ind w:firstLine="420"/>
        <w:rPr>
          <w:rFonts w:eastAsia="黑体"/>
          <w:sz w:val="24"/>
        </w:rPr>
      </w:pPr>
      <w:r>
        <w:rPr>
          <w:rFonts w:hint="eastAsia" w:eastAsia="黑体"/>
        </w:rPr>
        <w:t>第</w:t>
      </w:r>
      <w:r>
        <w:rPr>
          <w:rFonts w:eastAsia="黑体"/>
        </w:rPr>
        <w:t>100</w:t>
      </w:r>
      <w:r>
        <w:rPr>
          <w:rFonts w:hint="eastAsia" w:eastAsia="黑体"/>
        </w:rPr>
        <w:t>章</w:t>
      </w:r>
      <w:r>
        <w:rPr>
          <w:rFonts w:eastAsia="黑体"/>
        </w:rPr>
        <w:t xml:space="preserve">  </w:t>
      </w:r>
      <w:r>
        <w:rPr>
          <w:rFonts w:hint="eastAsia" w:eastAsia="黑体"/>
        </w:rPr>
        <w:t>总</w:t>
      </w:r>
      <w:r>
        <w:rPr>
          <w:rFonts w:eastAsia="黑体"/>
        </w:rPr>
        <w:t xml:space="preserve"> </w:t>
      </w:r>
      <w:r>
        <w:rPr>
          <w:rFonts w:hint="eastAsia" w:eastAsia="黑体"/>
        </w:rPr>
        <w:t>则</w:t>
      </w:r>
    </w:p>
    <w:p w14:paraId="336C7BF6">
      <w:pPr>
        <w:spacing w:line="360" w:lineRule="auto"/>
        <w:ind w:firstLine="792"/>
      </w:pPr>
      <w:r>
        <w:rPr>
          <w:rFonts w:hint="eastAsia"/>
        </w:rPr>
        <w:t>第</w:t>
      </w:r>
      <w:r>
        <w:t>101</w:t>
      </w:r>
      <w:r>
        <w:rPr>
          <w:rFonts w:hint="eastAsia"/>
        </w:rPr>
        <w:t>节</w:t>
      </w:r>
      <w:r>
        <w:t xml:space="preserve">  </w:t>
      </w:r>
      <w:r>
        <w:rPr>
          <w:rFonts w:hint="eastAsia"/>
        </w:rPr>
        <w:t>通</w:t>
      </w:r>
      <w:r>
        <w:t xml:space="preserve"> </w:t>
      </w:r>
      <w:r>
        <w:rPr>
          <w:rFonts w:hint="eastAsia"/>
        </w:rPr>
        <w:t>则</w:t>
      </w:r>
    </w:p>
    <w:p w14:paraId="01A27039">
      <w:pPr>
        <w:spacing w:line="360" w:lineRule="auto"/>
        <w:ind w:firstLine="792"/>
      </w:pPr>
      <w:r>
        <w:rPr>
          <w:rFonts w:hint="eastAsia"/>
        </w:rPr>
        <w:t>第</w:t>
      </w:r>
      <w:r>
        <w:t>102</w:t>
      </w:r>
      <w:r>
        <w:rPr>
          <w:rFonts w:hint="eastAsia"/>
        </w:rPr>
        <w:t>节</w:t>
      </w:r>
      <w:r>
        <w:t xml:space="preserve">  </w:t>
      </w:r>
      <w:r>
        <w:rPr>
          <w:rFonts w:hint="eastAsia"/>
        </w:rPr>
        <w:t>工程管理</w:t>
      </w:r>
    </w:p>
    <w:p w14:paraId="6E34E54A">
      <w:pPr>
        <w:spacing w:line="360" w:lineRule="auto"/>
        <w:ind w:firstLine="792"/>
      </w:pPr>
      <w:r>
        <w:rPr>
          <w:rFonts w:hint="eastAsia"/>
        </w:rPr>
        <w:t>第</w:t>
      </w:r>
      <w:r>
        <w:t>103</w:t>
      </w:r>
      <w:r>
        <w:rPr>
          <w:rFonts w:hint="eastAsia"/>
        </w:rPr>
        <w:t>节</w:t>
      </w:r>
      <w:r>
        <w:t xml:space="preserve">  </w:t>
      </w:r>
      <w:r>
        <w:rPr>
          <w:rFonts w:hint="eastAsia"/>
        </w:rPr>
        <w:t>临时工程与设施</w:t>
      </w:r>
    </w:p>
    <w:p w14:paraId="52D325FD">
      <w:pPr>
        <w:spacing w:line="360" w:lineRule="auto"/>
        <w:ind w:firstLine="792"/>
      </w:pPr>
      <w:r>
        <w:rPr>
          <w:rFonts w:hint="eastAsia"/>
        </w:rPr>
        <w:t>第</w:t>
      </w:r>
      <w:r>
        <w:t>105</w:t>
      </w:r>
      <w:r>
        <w:rPr>
          <w:rFonts w:hint="eastAsia"/>
        </w:rPr>
        <w:t>节</w:t>
      </w:r>
      <w:r>
        <w:t xml:space="preserve">  </w:t>
      </w:r>
      <w:r>
        <w:rPr>
          <w:rFonts w:hint="eastAsia"/>
        </w:rPr>
        <w:t>施工标准化</w:t>
      </w:r>
    </w:p>
    <w:p w14:paraId="5C71DB6E">
      <w:pPr>
        <w:spacing w:line="360" w:lineRule="auto"/>
        <w:ind w:firstLine="396"/>
        <w:rPr>
          <w:rFonts w:eastAsia="黑体"/>
        </w:rPr>
      </w:pPr>
      <w:r>
        <w:rPr>
          <w:rFonts w:hint="eastAsia" w:eastAsia="黑体"/>
        </w:rPr>
        <w:t>第</w:t>
      </w:r>
      <w:r>
        <w:rPr>
          <w:rFonts w:eastAsia="黑体"/>
        </w:rPr>
        <w:t>200</w:t>
      </w:r>
      <w:r>
        <w:rPr>
          <w:rFonts w:hint="eastAsia" w:eastAsia="黑体"/>
        </w:rPr>
        <w:t>章</w:t>
      </w:r>
      <w:r>
        <w:rPr>
          <w:rFonts w:eastAsia="黑体"/>
        </w:rPr>
        <w:t xml:space="preserve">  </w:t>
      </w:r>
      <w:r>
        <w:rPr>
          <w:rFonts w:hint="eastAsia" w:eastAsia="黑体"/>
        </w:rPr>
        <w:t>路基</w:t>
      </w:r>
    </w:p>
    <w:p w14:paraId="03F78E58">
      <w:pPr>
        <w:spacing w:line="360" w:lineRule="auto"/>
        <w:ind w:firstLine="792"/>
      </w:pPr>
      <w:r>
        <w:rPr>
          <w:rFonts w:hint="eastAsia"/>
        </w:rPr>
        <w:t>第</w:t>
      </w:r>
      <w:r>
        <w:t>201</w:t>
      </w:r>
      <w:r>
        <w:rPr>
          <w:rFonts w:hint="eastAsia"/>
        </w:rPr>
        <w:t>节</w:t>
      </w:r>
      <w:r>
        <w:t xml:space="preserve">  </w:t>
      </w:r>
      <w:r>
        <w:rPr>
          <w:rFonts w:hint="eastAsia"/>
        </w:rPr>
        <w:t>通</w:t>
      </w:r>
      <w:r>
        <w:t xml:space="preserve"> </w:t>
      </w:r>
      <w:r>
        <w:rPr>
          <w:rFonts w:hint="eastAsia"/>
        </w:rPr>
        <w:t>则</w:t>
      </w:r>
    </w:p>
    <w:p w14:paraId="2E81443D">
      <w:pPr>
        <w:spacing w:line="360" w:lineRule="auto"/>
        <w:ind w:firstLine="792"/>
      </w:pPr>
      <w:r>
        <w:rPr>
          <w:rFonts w:hint="eastAsia"/>
        </w:rPr>
        <w:t>第</w:t>
      </w:r>
      <w:r>
        <w:t>203</w:t>
      </w:r>
      <w:r>
        <w:rPr>
          <w:rFonts w:hint="eastAsia"/>
        </w:rPr>
        <w:t>节</w:t>
      </w:r>
      <w:r>
        <w:t xml:space="preserve">  </w:t>
      </w:r>
      <w:r>
        <w:rPr>
          <w:rFonts w:hint="eastAsia"/>
        </w:rPr>
        <w:t>挖方路基</w:t>
      </w:r>
    </w:p>
    <w:p w14:paraId="4C7B21C4">
      <w:pPr>
        <w:spacing w:line="360" w:lineRule="auto"/>
        <w:ind w:firstLine="792"/>
      </w:pPr>
      <w:r>
        <w:rPr>
          <w:rFonts w:hint="eastAsia"/>
        </w:rPr>
        <w:t>第</w:t>
      </w:r>
      <w:r>
        <w:t>204</w:t>
      </w:r>
      <w:r>
        <w:rPr>
          <w:rFonts w:hint="eastAsia"/>
        </w:rPr>
        <w:t>节</w:t>
      </w:r>
      <w:r>
        <w:t xml:space="preserve">  </w:t>
      </w:r>
      <w:r>
        <w:rPr>
          <w:rFonts w:hint="eastAsia"/>
        </w:rPr>
        <w:t>填方路基</w:t>
      </w:r>
    </w:p>
    <w:p w14:paraId="3B73AFBC">
      <w:pPr>
        <w:spacing w:line="360" w:lineRule="auto"/>
        <w:ind w:firstLine="792"/>
      </w:pPr>
      <w:r>
        <w:rPr>
          <w:rFonts w:hint="eastAsia"/>
        </w:rPr>
        <w:t>第</w:t>
      </w:r>
      <w:r>
        <w:t>216</w:t>
      </w:r>
      <w:r>
        <w:rPr>
          <w:rFonts w:hint="eastAsia"/>
        </w:rPr>
        <w:t>节</w:t>
      </w:r>
      <w:r>
        <w:t xml:space="preserve">  </w:t>
      </w:r>
      <w:r>
        <w:rPr>
          <w:rFonts w:hint="eastAsia"/>
        </w:rPr>
        <w:t>路基不均匀沉降的防治（补充）</w:t>
      </w:r>
    </w:p>
    <w:p w14:paraId="57D43D70">
      <w:pPr>
        <w:spacing w:line="360" w:lineRule="auto"/>
        <w:ind w:firstLine="396"/>
        <w:rPr>
          <w:rFonts w:eastAsia="黑体"/>
        </w:rPr>
      </w:pPr>
      <w:r>
        <w:rPr>
          <w:rFonts w:hint="eastAsia" w:eastAsia="黑体"/>
        </w:rPr>
        <w:t>第</w:t>
      </w:r>
      <w:r>
        <w:rPr>
          <w:rFonts w:eastAsia="黑体"/>
        </w:rPr>
        <w:t>300</w:t>
      </w:r>
      <w:r>
        <w:rPr>
          <w:rFonts w:hint="eastAsia" w:eastAsia="黑体"/>
        </w:rPr>
        <w:t>章</w:t>
      </w:r>
      <w:r>
        <w:rPr>
          <w:rFonts w:eastAsia="黑体"/>
        </w:rPr>
        <w:t xml:space="preserve">  </w:t>
      </w:r>
      <w:r>
        <w:rPr>
          <w:rFonts w:hint="eastAsia" w:eastAsia="黑体"/>
        </w:rPr>
        <w:t>路</w:t>
      </w:r>
      <w:r>
        <w:rPr>
          <w:rFonts w:eastAsia="黑体"/>
        </w:rPr>
        <w:t xml:space="preserve"> </w:t>
      </w:r>
      <w:r>
        <w:rPr>
          <w:rFonts w:hint="eastAsia" w:eastAsia="黑体"/>
        </w:rPr>
        <w:t>面</w:t>
      </w:r>
      <w:r>
        <w:rPr>
          <w:rFonts w:eastAsia="黑体"/>
        </w:rPr>
        <w:t xml:space="preserve">  </w:t>
      </w:r>
    </w:p>
    <w:p w14:paraId="61859002">
      <w:pPr>
        <w:spacing w:line="360" w:lineRule="auto"/>
        <w:ind w:firstLine="792"/>
      </w:pPr>
      <w:r>
        <w:rPr>
          <w:rFonts w:hint="eastAsia"/>
        </w:rPr>
        <w:t>第</w:t>
      </w:r>
      <w:r>
        <w:t>301</w:t>
      </w:r>
      <w:r>
        <w:rPr>
          <w:rFonts w:hint="eastAsia"/>
        </w:rPr>
        <w:t>节</w:t>
      </w:r>
      <w:r>
        <w:t xml:space="preserve">  </w:t>
      </w:r>
      <w:r>
        <w:rPr>
          <w:rFonts w:hint="eastAsia"/>
        </w:rPr>
        <w:t>通</w:t>
      </w:r>
      <w:r>
        <w:t xml:space="preserve"> </w:t>
      </w:r>
      <w:r>
        <w:rPr>
          <w:rFonts w:hint="eastAsia"/>
        </w:rPr>
        <w:t>则</w:t>
      </w:r>
    </w:p>
    <w:p w14:paraId="6EB88905">
      <w:pPr>
        <w:spacing w:line="360" w:lineRule="auto"/>
        <w:ind w:firstLine="792"/>
      </w:pPr>
      <w:r>
        <w:rPr>
          <w:rFonts w:hint="eastAsia"/>
        </w:rPr>
        <w:t>第</w:t>
      </w:r>
      <w:r>
        <w:t>304</w:t>
      </w:r>
      <w:r>
        <w:rPr>
          <w:rFonts w:hint="eastAsia"/>
        </w:rPr>
        <w:t>节</w:t>
      </w:r>
      <w:r>
        <w:t xml:space="preserve">  </w:t>
      </w:r>
      <w:r>
        <w:rPr>
          <w:rFonts w:hint="eastAsia"/>
        </w:rPr>
        <w:t>水泥稳定土底基层、基层</w:t>
      </w:r>
    </w:p>
    <w:p w14:paraId="35A7A535">
      <w:pPr>
        <w:spacing w:line="360" w:lineRule="auto"/>
        <w:ind w:firstLine="792"/>
      </w:pPr>
      <w:r>
        <w:rPr>
          <w:rFonts w:hint="eastAsia"/>
        </w:rPr>
        <w:t>第</w:t>
      </w:r>
      <w:r>
        <w:t>311</w:t>
      </w:r>
      <w:r>
        <w:rPr>
          <w:rFonts w:hint="eastAsia"/>
        </w:rPr>
        <w:t>节</w:t>
      </w:r>
      <w:r>
        <w:t xml:space="preserve">  </w:t>
      </w:r>
      <w:r>
        <w:rPr>
          <w:rFonts w:hint="eastAsia"/>
        </w:rPr>
        <w:t>改性沥青及改性沥青混合料</w:t>
      </w:r>
    </w:p>
    <w:p w14:paraId="7C77F998">
      <w:pPr>
        <w:spacing w:line="360" w:lineRule="auto"/>
        <w:ind w:firstLine="792"/>
      </w:pPr>
      <w:r>
        <w:rPr>
          <w:rFonts w:hint="eastAsia"/>
        </w:rPr>
        <w:t>第</w:t>
      </w:r>
      <w:r>
        <w:t>314</w:t>
      </w:r>
      <w:r>
        <w:rPr>
          <w:rFonts w:hint="eastAsia"/>
        </w:rPr>
        <w:t>节</w:t>
      </w:r>
      <w:r>
        <w:t xml:space="preserve">  </w:t>
      </w:r>
      <w:r>
        <w:rPr>
          <w:rFonts w:hint="eastAsia"/>
        </w:rPr>
        <w:t>路面及中央分隔带排水</w:t>
      </w:r>
    </w:p>
    <w:p w14:paraId="3C331C5F">
      <w:pPr>
        <w:spacing w:line="360" w:lineRule="auto"/>
        <w:ind w:firstLine="396"/>
      </w:pPr>
      <w:r>
        <w:rPr>
          <w:rFonts w:hint="eastAsia" w:eastAsia="黑体"/>
        </w:rPr>
        <w:t>第</w:t>
      </w:r>
      <w:r>
        <w:rPr>
          <w:rFonts w:eastAsia="黑体"/>
        </w:rPr>
        <w:t>400</w:t>
      </w:r>
      <w:r>
        <w:rPr>
          <w:rFonts w:hint="eastAsia" w:eastAsia="黑体"/>
        </w:rPr>
        <w:t>章</w:t>
      </w:r>
      <w:r>
        <w:rPr>
          <w:rFonts w:eastAsia="黑体"/>
        </w:rPr>
        <w:t xml:space="preserve">  </w:t>
      </w:r>
      <w:r>
        <w:rPr>
          <w:rFonts w:hint="eastAsia" w:eastAsia="黑体"/>
        </w:rPr>
        <w:t>桥梁、涵洞</w:t>
      </w:r>
    </w:p>
    <w:p w14:paraId="59B49F37">
      <w:pPr>
        <w:spacing w:line="360" w:lineRule="auto"/>
        <w:ind w:firstLine="792"/>
      </w:pPr>
      <w:r>
        <w:rPr>
          <w:rFonts w:hint="eastAsia"/>
        </w:rPr>
        <w:t>第</w:t>
      </w:r>
      <w:r>
        <w:t>401</w:t>
      </w:r>
      <w:r>
        <w:rPr>
          <w:rFonts w:hint="eastAsia"/>
        </w:rPr>
        <w:t>节</w:t>
      </w:r>
      <w:r>
        <w:t xml:space="preserve">  </w:t>
      </w:r>
      <w:r>
        <w:rPr>
          <w:rFonts w:hint="eastAsia"/>
        </w:rPr>
        <w:t>通</w:t>
      </w:r>
      <w:r>
        <w:t xml:space="preserve"> </w:t>
      </w:r>
      <w:r>
        <w:rPr>
          <w:rFonts w:hint="eastAsia"/>
        </w:rPr>
        <w:t>则</w:t>
      </w:r>
    </w:p>
    <w:p w14:paraId="2375F1F8">
      <w:pPr>
        <w:spacing w:line="360" w:lineRule="auto"/>
        <w:ind w:firstLine="792"/>
      </w:pPr>
      <w:r>
        <w:rPr>
          <w:rFonts w:hint="eastAsia"/>
        </w:rPr>
        <w:t>第</w:t>
      </w:r>
      <w:r>
        <w:t>403</w:t>
      </w:r>
      <w:r>
        <w:rPr>
          <w:rFonts w:hint="eastAsia"/>
        </w:rPr>
        <w:t>节</w:t>
      </w:r>
      <w:r>
        <w:t xml:space="preserve">  </w:t>
      </w:r>
      <w:r>
        <w:rPr>
          <w:rFonts w:hint="eastAsia"/>
        </w:rPr>
        <w:t>钢</w:t>
      </w:r>
      <w:r>
        <w:t xml:space="preserve"> </w:t>
      </w:r>
      <w:r>
        <w:rPr>
          <w:rFonts w:hint="eastAsia"/>
        </w:rPr>
        <w:t>筋</w:t>
      </w:r>
    </w:p>
    <w:p w14:paraId="2C9BCCF8">
      <w:pPr>
        <w:spacing w:line="360" w:lineRule="auto"/>
        <w:ind w:firstLine="792"/>
      </w:pPr>
      <w:r>
        <w:rPr>
          <w:rFonts w:hint="eastAsia"/>
        </w:rPr>
        <w:t>第</w:t>
      </w:r>
      <w:r>
        <w:t>404</w:t>
      </w:r>
      <w:r>
        <w:rPr>
          <w:rFonts w:hint="eastAsia"/>
        </w:rPr>
        <w:t>节</w:t>
      </w:r>
      <w:r>
        <w:t xml:space="preserve">  </w:t>
      </w:r>
      <w:r>
        <w:rPr>
          <w:rFonts w:hint="eastAsia"/>
        </w:rPr>
        <w:t>基础挖方及回填</w:t>
      </w:r>
    </w:p>
    <w:p w14:paraId="39E0F64F">
      <w:pPr>
        <w:spacing w:line="360" w:lineRule="auto"/>
        <w:ind w:firstLine="792"/>
      </w:pPr>
      <w:r>
        <w:rPr>
          <w:rFonts w:hint="eastAsia"/>
        </w:rPr>
        <w:t>第</w:t>
      </w:r>
      <w:r>
        <w:t>405</w:t>
      </w:r>
      <w:r>
        <w:rPr>
          <w:rFonts w:hint="eastAsia"/>
        </w:rPr>
        <w:t>节</w:t>
      </w:r>
      <w:r>
        <w:t xml:space="preserve">  </w:t>
      </w:r>
      <w:r>
        <w:rPr>
          <w:rFonts w:hint="eastAsia"/>
        </w:rPr>
        <w:t>钻孔灌注桩</w:t>
      </w:r>
    </w:p>
    <w:p w14:paraId="5C423C09">
      <w:pPr>
        <w:spacing w:line="360" w:lineRule="auto"/>
        <w:ind w:firstLine="792"/>
      </w:pPr>
      <w:r>
        <w:rPr>
          <w:rFonts w:hint="eastAsia"/>
        </w:rPr>
        <w:t>第</w:t>
      </w:r>
      <w:r>
        <w:t>410</w:t>
      </w:r>
      <w:r>
        <w:rPr>
          <w:rFonts w:hint="eastAsia"/>
        </w:rPr>
        <w:t>节</w:t>
      </w:r>
      <w:r>
        <w:t xml:space="preserve">  </w:t>
      </w:r>
      <w:r>
        <w:rPr>
          <w:rFonts w:hint="eastAsia"/>
        </w:rPr>
        <w:t>结构混凝土工程</w:t>
      </w:r>
    </w:p>
    <w:p w14:paraId="4A15A801">
      <w:pPr>
        <w:spacing w:line="360" w:lineRule="auto"/>
        <w:ind w:firstLine="792"/>
      </w:pPr>
      <w:r>
        <w:rPr>
          <w:rFonts w:hint="eastAsia"/>
        </w:rPr>
        <w:t>第</w:t>
      </w:r>
      <w:r>
        <w:t>411</w:t>
      </w:r>
      <w:r>
        <w:rPr>
          <w:rFonts w:hint="eastAsia"/>
        </w:rPr>
        <w:t>节</w:t>
      </w:r>
      <w:r>
        <w:t xml:space="preserve">  </w:t>
      </w:r>
      <w:r>
        <w:rPr>
          <w:rFonts w:hint="eastAsia"/>
        </w:rPr>
        <w:t>预应力混凝土工程</w:t>
      </w:r>
    </w:p>
    <w:p w14:paraId="37CDD65A">
      <w:pPr>
        <w:spacing w:line="360" w:lineRule="auto"/>
        <w:ind w:firstLine="792"/>
      </w:pPr>
      <w:r>
        <w:rPr>
          <w:rFonts w:hint="eastAsia"/>
        </w:rPr>
        <w:t>第</w:t>
      </w:r>
      <w:r>
        <w:t>412</w:t>
      </w:r>
      <w:r>
        <w:rPr>
          <w:rFonts w:hint="eastAsia"/>
        </w:rPr>
        <w:t>节</w:t>
      </w:r>
      <w:r>
        <w:t xml:space="preserve">  </w:t>
      </w:r>
      <w:r>
        <w:rPr>
          <w:rFonts w:hint="eastAsia"/>
        </w:rPr>
        <w:t>预制构件的安装</w:t>
      </w:r>
    </w:p>
    <w:p w14:paraId="1ADF12DB">
      <w:pPr>
        <w:spacing w:line="360" w:lineRule="auto"/>
        <w:ind w:firstLine="792"/>
      </w:pPr>
      <w:r>
        <w:rPr>
          <w:rFonts w:hint="eastAsia"/>
        </w:rPr>
        <w:t>第</w:t>
      </w:r>
      <w:r>
        <w:t>415</w:t>
      </w:r>
      <w:r>
        <w:rPr>
          <w:rFonts w:hint="eastAsia"/>
        </w:rPr>
        <w:t>节</w:t>
      </w:r>
      <w:r>
        <w:t xml:space="preserve">  </w:t>
      </w:r>
      <w:r>
        <w:rPr>
          <w:rFonts w:hint="eastAsia"/>
        </w:rPr>
        <w:t>桥面铺装</w:t>
      </w:r>
    </w:p>
    <w:p w14:paraId="4944D19F">
      <w:pPr>
        <w:spacing w:line="360" w:lineRule="auto"/>
        <w:ind w:firstLine="792"/>
      </w:pPr>
      <w:r>
        <w:rPr>
          <w:rFonts w:hint="eastAsia"/>
        </w:rPr>
        <w:t>第</w:t>
      </w:r>
      <w:r>
        <w:t>416</w:t>
      </w:r>
      <w:r>
        <w:rPr>
          <w:rFonts w:hint="eastAsia"/>
        </w:rPr>
        <w:t>节</w:t>
      </w:r>
      <w:r>
        <w:t xml:space="preserve">  </w:t>
      </w:r>
      <w:r>
        <w:rPr>
          <w:rFonts w:hint="eastAsia"/>
        </w:rPr>
        <w:t>桥梁支座</w:t>
      </w:r>
    </w:p>
    <w:p w14:paraId="2D03A813">
      <w:pPr>
        <w:spacing w:line="360" w:lineRule="auto"/>
        <w:ind w:firstLine="792"/>
      </w:pPr>
      <w:r>
        <w:rPr>
          <w:rFonts w:hint="eastAsia"/>
        </w:rPr>
        <w:t>第</w:t>
      </w:r>
      <w:r>
        <w:t>419</w:t>
      </w:r>
      <w:r>
        <w:rPr>
          <w:rFonts w:hint="eastAsia"/>
        </w:rPr>
        <w:t>节</w:t>
      </w:r>
      <w:r>
        <w:t xml:space="preserve">  </w:t>
      </w:r>
      <w:r>
        <w:rPr>
          <w:rFonts w:hint="eastAsia"/>
        </w:rPr>
        <w:t>圆管涵及倒虹吸管涵</w:t>
      </w:r>
    </w:p>
    <w:p w14:paraId="7EBD77EC">
      <w:pPr>
        <w:spacing w:line="360" w:lineRule="auto"/>
        <w:ind w:firstLine="792"/>
      </w:pPr>
      <w:r>
        <w:rPr>
          <w:rFonts w:hint="eastAsia"/>
        </w:rPr>
        <w:t>第</w:t>
      </w:r>
      <w:r>
        <w:t>422</w:t>
      </w:r>
      <w:r>
        <w:rPr>
          <w:rFonts w:hint="eastAsia"/>
        </w:rPr>
        <w:t>节</w:t>
      </w:r>
      <w:r>
        <w:t xml:space="preserve">  </w:t>
      </w:r>
      <w:r>
        <w:rPr>
          <w:rFonts w:hint="eastAsia"/>
        </w:rPr>
        <w:t>桥头跳车的防治（补充）</w:t>
      </w:r>
    </w:p>
    <w:p w14:paraId="46708A70">
      <w:pPr>
        <w:spacing w:line="360" w:lineRule="auto"/>
        <w:ind w:firstLine="396"/>
        <w:rPr>
          <w:rFonts w:eastAsia="黑体"/>
        </w:rPr>
      </w:pPr>
      <w:r>
        <w:rPr>
          <w:rFonts w:hint="eastAsia" w:eastAsia="黑体"/>
        </w:rPr>
        <w:t>第</w:t>
      </w:r>
      <w:r>
        <w:rPr>
          <w:rFonts w:eastAsia="黑体"/>
        </w:rPr>
        <w:t>500</w:t>
      </w:r>
      <w:r>
        <w:rPr>
          <w:rFonts w:hint="eastAsia" w:eastAsia="黑体"/>
        </w:rPr>
        <w:t>章</w:t>
      </w:r>
      <w:r>
        <w:rPr>
          <w:rFonts w:eastAsia="黑体"/>
        </w:rPr>
        <w:t xml:space="preserve">  </w:t>
      </w:r>
      <w:r>
        <w:rPr>
          <w:rFonts w:hint="eastAsia" w:eastAsia="黑体"/>
        </w:rPr>
        <w:t>隧</w:t>
      </w:r>
      <w:r>
        <w:rPr>
          <w:rFonts w:eastAsia="黑体"/>
        </w:rPr>
        <w:t xml:space="preserve"> </w:t>
      </w:r>
      <w:r>
        <w:rPr>
          <w:rFonts w:hint="eastAsia" w:eastAsia="黑体"/>
        </w:rPr>
        <w:t>道</w:t>
      </w:r>
    </w:p>
    <w:p w14:paraId="47C25246">
      <w:pPr>
        <w:spacing w:line="360" w:lineRule="auto"/>
        <w:ind w:firstLine="792"/>
      </w:pPr>
      <w:r>
        <w:rPr>
          <w:rFonts w:hint="eastAsia"/>
        </w:rPr>
        <w:t>第</w:t>
      </w:r>
      <w:r>
        <w:t>501</w:t>
      </w:r>
      <w:r>
        <w:rPr>
          <w:rFonts w:hint="eastAsia"/>
        </w:rPr>
        <w:t>节</w:t>
      </w:r>
      <w:r>
        <w:t xml:space="preserve">  </w:t>
      </w:r>
      <w:r>
        <w:rPr>
          <w:rFonts w:hint="eastAsia"/>
        </w:rPr>
        <w:t>通则</w:t>
      </w:r>
    </w:p>
    <w:p w14:paraId="60FEA786">
      <w:pPr>
        <w:spacing w:line="360" w:lineRule="auto"/>
        <w:ind w:firstLine="792"/>
      </w:pPr>
      <w:r>
        <w:rPr>
          <w:rFonts w:hint="eastAsia"/>
        </w:rPr>
        <w:t>第</w:t>
      </w:r>
      <w:r>
        <w:t>502</w:t>
      </w:r>
      <w:r>
        <w:rPr>
          <w:rFonts w:hint="eastAsia"/>
        </w:rPr>
        <w:t>节</w:t>
      </w:r>
      <w:r>
        <w:t xml:space="preserve">  </w:t>
      </w:r>
      <w:r>
        <w:rPr>
          <w:rFonts w:hint="eastAsia"/>
        </w:rPr>
        <w:t>洞口与明洞工程</w:t>
      </w:r>
    </w:p>
    <w:p w14:paraId="2DC43009">
      <w:pPr>
        <w:spacing w:line="360" w:lineRule="auto"/>
        <w:ind w:firstLine="792"/>
      </w:pPr>
      <w:r>
        <w:rPr>
          <w:rFonts w:hint="eastAsia"/>
        </w:rPr>
        <w:t>第</w:t>
      </w:r>
      <w:r>
        <w:t>503</w:t>
      </w:r>
      <w:r>
        <w:rPr>
          <w:rFonts w:hint="eastAsia"/>
        </w:rPr>
        <w:t>节</w:t>
      </w:r>
      <w:r>
        <w:t xml:space="preserve">  </w:t>
      </w:r>
      <w:r>
        <w:rPr>
          <w:rFonts w:hint="eastAsia"/>
        </w:rPr>
        <w:t>洞身开挖</w:t>
      </w:r>
    </w:p>
    <w:p w14:paraId="42D700E5">
      <w:pPr>
        <w:spacing w:line="360" w:lineRule="auto"/>
        <w:ind w:firstLine="396"/>
      </w:pPr>
      <w:r>
        <w:rPr>
          <w:rFonts w:hint="eastAsia" w:eastAsia="黑体"/>
        </w:rPr>
        <w:t>第</w:t>
      </w:r>
      <w:r>
        <w:rPr>
          <w:rFonts w:eastAsia="黑体"/>
        </w:rPr>
        <w:t>600</w:t>
      </w:r>
      <w:r>
        <w:rPr>
          <w:rFonts w:hint="eastAsia" w:eastAsia="黑体"/>
        </w:rPr>
        <w:t>章</w:t>
      </w:r>
      <w:r>
        <w:rPr>
          <w:rFonts w:eastAsia="黑体"/>
        </w:rPr>
        <w:t xml:space="preserve">  </w:t>
      </w:r>
      <w:r>
        <w:rPr>
          <w:rFonts w:hint="eastAsia" w:eastAsia="黑体"/>
        </w:rPr>
        <w:t>安全设施及预埋管线</w:t>
      </w:r>
      <w:r>
        <w:t xml:space="preserve">  </w:t>
      </w:r>
    </w:p>
    <w:p w14:paraId="14760E19">
      <w:pPr>
        <w:spacing w:line="360" w:lineRule="auto"/>
        <w:ind w:firstLine="792"/>
      </w:pPr>
      <w:r>
        <w:rPr>
          <w:rFonts w:hint="eastAsia"/>
        </w:rPr>
        <w:t>第</w:t>
      </w:r>
      <w:r>
        <w:t>601</w:t>
      </w:r>
      <w:r>
        <w:rPr>
          <w:rFonts w:hint="eastAsia"/>
        </w:rPr>
        <w:t>节</w:t>
      </w:r>
      <w:r>
        <w:t xml:space="preserve">  </w:t>
      </w:r>
      <w:r>
        <w:rPr>
          <w:rFonts w:hint="eastAsia"/>
        </w:rPr>
        <w:t>通</w:t>
      </w:r>
      <w:r>
        <w:t xml:space="preserve"> </w:t>
      </w:r>
      <w:r>
        <w:rPr>
          <w:rFonts w:hint="eastAsia"/>
        </w:rPr>
        <w:t>则</w:t>
      </w:r>
    </w:p>
    <w:p w14:paraId="5195616C">
      <w:pPr>
        <w:spacing w:line="360" w:lineRule="auto"/>
        <w:ind w:firstLine="792"/>
      </w:pPr>
      <w:r>
        <w:rPr>
          <w:rFonts w:hint="eastAsia"/>
        </w:rPr>
        <w:t>第</w:t>
      </w:r>
      <w:r>
        <w:t>602</w:t>
      </w:r>
      <w:r>
        <w:rPr>
          <w:rFonts w:hint="eastAsia"/>
        </w:rPr>
        <w:t>节</w:t>
      </w:r>
      <w:r>
        <w:t xml:space="preserve">  </w:t>
      </w:r>
      <w:r>
        <w:rPr>
          <w:rFonts w:hint="eastAsia"/>
        </w:rPr>
        <w:t>护</w:t>
      </w:r>
      <w:r>
        <w:t xml:space="preserve"> </w:t>
      </w:r>
      <w:r>
        <w:rPr>
          <w:rFonts w:hint="eastAsia"/>
        </w:rPr>
        <w:t>栏</w:t>
      </w:r>
    </w:p>
    <w:p w14:paraId="327D7732">
      <w:pPr>
        <w:spacing w:line="360" w:lineRule="auto"/>
        <w:ind w:firstLine="396"/>
      </w:pPr>
      <w:r>
        <w:rPr>
          <w:rFonts w:hint="eastAsia" w:eastAsia="黑体"/>
        </w:rPr>
        <w:t>第</w:t>
      </w:r>
      <w:r>
        <w:rPr>
          <w:rFonts w:eastAsia="黑体"/>
        </w:rPr>
        <w:t>700</w:t>
      </w:r>
      <w:r>
        <w:rPr>
          <w:rFonts w:hint="eastAsia" w:eastAsia="黑体"/>
        </w:rPr>
        <w:t>章</w:t>
      </w:r>
      <w:r>
        <w:rPr>
          <w:rFonts w:eastAsia="黑体"/>
        </w:rPr>
        <w:t xml:space="preserve">  </w:t>
      </w:r>
      <w:r>
        <w:rPr>
          <w:rFonts w:hint="eastAsia" w:eastAsia="黑体"/>
        </w:rPr>
        <w:t>绿化及环境保护设施</w:t>
      </w:r>
    </w:p>
    <w:p w14:paraId="3F92C82B">
      <w:pPr>
        <w:spacing w:line="360" w:lineRule="auto"/>
        <w:ind w:firstLine="792"/>
      </w:pPr>
      <w:r>
        <w:rPr>
          <w:rFonts w:hint="eastAsia"/>
        </w:rPr>
        <w:t>第</w:t>
      </w:r>
      <w:r>
        <w:t>701</w:t>
      </w:r>
      <w:r>
        <w:rPr>
          <w:rFonts w:hint="eastAsia"/>
        </w:rPr>
        <w:t>节</w:t>
      </w:r>
      <w:r>
        <w:t xml:space="preserve">  </w:t>
      </w:r>
      <w:r>
        <w:rPr>
          <w:rFonts w:hint="eastAsia"/>
        </w:rPr>
        <w:t>通</w:t>
      </w:r>
      <w:r>
        <w:t xml:space="preserve"> </w:t>
      </w:r>
      <w:r>
        <w:rPr>
          <w:rFonts w:hint="eastAsia"/>
        </w:rPr>
        <w:t>则</w:t>
      </w:r>
    </w:p>
    <w:p w14:paraId="21BFCCF4">
      <w:pPr>
        <w:spacing w:line="360" w:lineRule="auto"/>
        <w:ind w:firstLine="792"/>
      </w:pPr>
      <w:r>
        <w:rPr>
          <w:rFonts w:hint="eastAsia"/>
        </w:rPr>
        <w:t>第</w:t>
      </w:r>
      <w:r>
        <w:t>702</w:t>
      </w:r>
      <w:r>
        <w:rPr>
          <w:rFonts w:hint="eastAsia"/>
        </w:rPr>
        <w:t>节</w:t>
      </w:r>
      <w:r>
        <w:t xml:space="preserve">  </w:t>
      </w:r>
      <w:r>
        <w:rPr>
          <w:rFonts w:hint="eastAsia"/>
        </w:rPr>
        <w:t>铺设表土</w:t>
      </w:r>
    </w:p>
    <w:p w14:paraId="7B1781AC">
      <w:pPr>
        <w:spacing w:line="360" w:lineRule="auto"/>
        <w:ind w:firstLine="792"/>
      </w:pPr>
      <w:r>
        <w:rPr>
          <w:rFonts w:hint="eastAsia"/>
        </w:rPr>
        <w:t>第</w:t>
      </w:r>
      <w:r>
        <w:t>703</w:t>
      </w:r>
      <w:r>
        <w:rPr>
          <w:rFonts w:hint="eastAsia"/>
        </w:rPr>
        <w:t>节</w:t>
      </w:r>
      <w:r>
        <w:t xml:space="preserve">  </w:t>
      </w:r>
      <w:r>
        <w:rPr>
          <w:rFonts w:hint="eastAsia"/>
        </w:rPr>
        <w:t>撒播草种和铺植草皮</w:t>
      </w:r>
    </w:p>
    <w:p w14:paraId="0B2C8460">
      <w:pPr>
        <w:spacing w:line="360" w:lineRule="auto"/>
        <w:ind w:firstLine="810" w:firstLineChars="386"/>
      </w:pPr>
      <w:r>
        <w:rPr>
          <w:rFonts w:hint="eastAsia"/>
        </w:rPr>
        <w:t>第</w:t>
      </w:r>
      <w:r>
        <w:t>704</w:t>
      </w:r>
      <w:r>
        <w:rPr>
          <w:rFonts w:hint="eastAsia"/>
        </w:rPr>
        <w:t>节</w:t>
      </w:r>
      <w:r>
        <w:t xml:space="preserve">  </w:t>
      </w:r>
      <w:r>
        <w:rPr>
          <w:rFonts w:hint="eastAsia"/>
        </w:rPr>
        <w:t>种植乔木、灌木和攀缘植物</w:t>
      </w:r>
    </w:p>
    <w:p w14:paraId="44DA00EE">
      <w:pPr>
        <w:spacing w:line="360" w:lineRule="auto"/>
      </w:pPr>
    </w:p>
    <w:p w14:paraId="3EF63FF1">
      <w:pPr>
        <w:spacing w:line="360" w:lineRule="auto"/>
      </w:pPr>
    </w:p>
    <w:p w14:paraId="0E4A6A55">
      <w:pPr>
        <w:spacing w:line="240" w:lineRule="auto"/>
        <w:jc w:val="left"/>
        <w:outlineLvl w:val="9"/>
      </w:pPr>
      <w:r>
        <w:br w:type="page"/>
      </w:r>
    </w:p>
    <w:p w14:paraId="3758B2E8">
      <w:pPr>
        <w:tabs>
          <w:tab w:val="left" w:pos="3120"/>
        </w:tabs>
        <w:spacing w:line="360" w:lineRule="auto"/>
        <w:jc w:val="center"/>
        <w:outlineLvl w:val="2"/>
        <w:rPr>
          <w:rFonts w:eastAsia="黑体"/>
          <w:sz w:val="44"/>
        </w:rPr>
      </w:pPr>
      <w:bookmarkStart w:id="388" w:name="_Toc154675157"/>
      <w:bookmarkStart w:id="389" w:name="_Toc25176"/>
      <w:r>
        <w:rPr>
          <w:rFonts w:hint="eastAsia" w:eastAsia="黑体"/>
          <w:sz w:val="44"/>
        </w:rPr>
        <w:t>第</w:t>
      </w:r>
      <w:r>
        <w:rPr>
          <w:rFonts w:eastAsia="黑体"/>
          <w:sz w:val="44"/>
        </w:rPr>
        <w:t>100</w:t>
      </w:r>
      <w:r>
        <w:rPr>
          <w:rFonts w:hint="eastAsia" w:eastAsia="黑体"/>
          <w:sz w:val="44"/>
        </w:rPr>
        <w:t>章</w:t>
      </w:r>
      <w:r>
        <w:rPr>
          <w:rFonts w:eastAsia="黑体"/>
          <w:sz w:val="44"/>
        </w:rPr>
        <w:t xml:space="preserve">  </w:t>
      </w:r>
      <w:r>
        <w:rPr>
          <w:rFonts w:hint="eastAsia" w:eastAsia="黑体"/>
          <w:sz w:val="44"/>
        </w:rPr>
        <w:t>总</w:t>
      </w:r>
      <w:r>
        <w:rPr>
          <w:rFonts w:eastAsia="黑体"/>
          <w:sz w:val="44"/>
        </w:rPr>
        <w:t xml:space="preserve">    </w:t>
      </w:r>
      <w:r>
        <w:rPr>
          <w:rFonts w:hint="eastAsia" w:eastAsia="黑体"/>
          <w:sz w:val="44"/>
        </w:rPr>
        <w:t>则</w:t>
      </w:r>
      <w:bookmarkEnd w:id="388"/>
      <w:bookmarkEnd w:id="389"/>
    </w:p>
    <w:p w14:paraId="019DB4FA">
      <w:pPr>
        <w:pStyle w:val="7"/>
        <w:rPr>
          <w:sz w:val="32"/>
        </w:rPr>
      </w:pPr>
      <w:bookmarkStart w:id="390" w:name="_Toc154675158"/>
      <w:r>
        <w:rPr>
          <w:rFonts w:hint="eastAsia"/>
          <w:sz w:val="32"/>
        </w:rPr>
        <w:t>第</w:t>
      </w:r>
      <w:r>
        <w:rPr>
          <w:sz w:val="32"/>
        </w:rPr>
        <w:t>101</w:t>
      </w:r>
      <w:r>
        <w:rPr>
          <w:rFonts w:hint="eastAsia"/>
          <w:sz w:val="32"/>
        </w:rPr>
        <w:t>节</w:t>
      </w:r>
      <w:r>
        <w:rPr>
          <w:sz w:val="32"/>
        </w:rPr>
        <w:t xml:space="preserve">  </w:t>
      </w:r>
      <w:r>
        <w:rPr>
          <w:rFonts w:hint="eastAsia"/>
          <w:sz w:val="32"/>
        </w:rPr>
        <w:t>通</w:t>
      </w:r>
      <w:r>
        <w:rPr>
          <w:sz w:val="32"/>
        </w:rPr>
        <w:t xml:space="preserve"> </w:t>
      </w:r>
      <w:r>
        <w:rPr>
          <w:rFonts w:hint="eastAsia"/>
          <w:sz w:val="32"/>
        </w:rPr>
        <w:t>则</w:t>
      </w:r>
      <w:bookmarkEnd w:id="390"/>
    </w:p>
    <w:p w14:paraId="275CF0E5">
      <w:pPr>
        <w:tabs>
          <w:tab w:val="left" w:pos="3120"/>
        </w:tabs>
        <w:spacing w:line="360" w:lineRule="auto"/>
        <w:rPr>
          <w:rFonts w:eastAsia="黑体"/>
          <w:sz w:val="28"/>
          <w:szCs w:val="28"/>
        </w:rPr>
      </w:pPr>
      <w:r>
        <w:rPr>
          <w:rFonts w:eastAsia="黑体"/>
          <w:sz w:val="28"/>
          <w:szCs w:val="28"/>
        </w:rPr>
        <w:t xml:space="preserve">101.01  </w:t>
      </w:r>
      <w:r>
        <w:rPr>
          <w:rFonts w:hint="eastAsia" w:eastAsia="黑体"/>
          <w:sz w:val="28"/>
          <w:szCs w:val="28"/>
        </w:rPr>
        <w:t>范围</w:t>
      </w:r>
    </w:p>
    <w:p w14:paraId="241B41AC">
      <w:pPr>
        <w:tabs>
          <w:tab w:val="left" w:pos="3120"/>
        </w:tabs>
        <w:spacing w:line="360" w:lineRule="auto"/>
        <w:ind w:firstLine="397"/>
      </w:pPr>
      <w:r>
        <w:rPr>
          <w:rFonts w:hint="eastAsia"/>
        </w:rPr>
        <w:t>第</w:t>
      </w:r>
      <w:r>
        <w:t>1</w:t>
      </w:r>
      <w:r>
        <w:rPr>
          <w:rFonts w:hint="eastAsia"/>
        </w:rPr>
        <w:t>条修改为：</w:t>
      </w:r>
    </w:p>
    <w:p w14:paraId="4026CD28">
      <w:pPr>
        <w:tabs>
          <w:tab w:val="left" w:pos="3120"/>
        </w:tabs>
        <w:spacing w:line="360" w:lineRule="auto"/>
        <w:ind w:firstLine="397"/>
      </w:pPr>
      <w:r>
        <w:t>1</w:t>
      </w:r>
      <w:r>
        <w:rPr>
          <w:rFonts w:hint="eastAsia"/>
        </w:rPr>
        <w:t>．本</w:t>
      </w:r>
      <w:r>
        <w:rPr>
          <w:rFonts w:eastAsia="隶书"/>
        </w:rPr>
        <w:t>“</w:t>
      </w:r>
      <w:r>
        <w:rPr>
          <w:rFonts w:hint="eastAsia"/>
        </w:rPr>
        <w:t>项目专用技术规范</w:t>
      </w:r>
      <w:r>
        <w:rPr>
          <w:rFonts w:eastAsia="隶书"/>
        </w:rPr>
        <w:t>”</w:t>
      </w:r>
      <w:r>
        <w:rPr>
          <w:rFonts w:hint="eastAsia"/>
        </w:rPr>
        <w:t>结合本工程特点编写，连同</w:t>
      </w:r>
      <w:r>
        <w:rPr>
          <w:rFonts w:eastAsia="隶书"/>
        </w:rPr>
        <w:t>“</w:t>
      </w:r>
      <w:r>
        <w:rPr>
          <w:rFonts w:hint="eastAsia"/>
        </w:rPr>
        <w:t>通用技术规范</w:t>
      </w:r>
      <w:r>
        <w:rPr>
          <w:rFonts w:eastAsia="隶书"/>
        </w:rPr>
        <w:t>”</w:t>
      </w:r>
      <w:r>
        <w:rPr>
          <w:rFonts w:hint="eastAsia"/>
        </w:rPr>
        <w:t>，统称</w:t>
      </w:r>
      <w:r>
        <w:t>“</w:t>
      </w:r>
      <w:r>
        <w:rPr>
          <w:rFonts w:hint="eastAsia"/>
        </w:rPr>
        <w:t>本规范</w:t>
      </w:r>
      <w:r>
        <w:t>”</w:t>
      </w:r>
      <w:r>
        <w:rPr>
          <w:rFonts w:hint="eastAsia"/>
        </w:rPr>
        <w:t>，适用于</w:t>
      </w:r>
      <w:r>
        <w:rPr>
          <w:u w:val="single"/>
        </w:rPr>
        <w:t xml:space="preserve">         </w:t>
      </w:r>
      <w:r>
        <w:rPr>
          <w:rFonts w:hint="eastAsia"/>
        </w:rPr>
        <w:t>公路</w:t>
      </w:r>
      <w:r>
        <w:rPr>
          <w:u w:val="single"/>
        </w:rPr>
        <w:t xml:space="preserve">    </w:t>
      </w:r>
      <w:r>
        <w:rPr>
          <w:rFonts w:hint="eastAsia"/>
        </w:rPr>
        <w:t>工程施工与管理。</w:t>
      </w:r>
    </w:p>
    <w:p w14:paraId="16BA1707">
      <w:pPr>
        <w:tabs>
          <w:tab w:val="left" w:pos="3120"/>
        </w:tabs>
        <w:spacing w:line="360" w:lineRule="auto"/>
      </w:pPr>
      <w:r>
        <w:rPr>
          <w:rFonts w:eastAsia="黑体"/>
          <w:sz w:val="28"/>
          <w:szCs w:val="28"/>
        </w:rPr>
        <w:t xml:space="preserve">101.04  </w:t>
      </w:r>
      <w:r>
        <w:rPr>
          <w:rFonts w:hint="eastAsia" w:eastAsia="黑体"/>
          <w:sz w:val="28"/>
          <w:szCs w:val="28"/>
        </w:rPr>
        <w:t>标准与规范</w:t>
      </w:r>
    </w:p>
    <w:p w14:paraId="14F535CD">
      <w:pPr>
        <w:tabs>
          <w:tab w:val="left" w:pos="3120"/>
        </w:tabs>
        <w:spacing w:line="360" w:lineRule="auto"/>
        <w:ind w:firstLine="397"/>
      </w:pPr>
      <w:r>
        <w:rPr>
          <w:rFonts w:hint="eastAsia"/>
        </w:rPr>
        <w:t>第</w:t>
      </w:r>
      <w:r>
        <w:t>4</w:t>
      </w:r>
      <w:r>
        <w:rPr>
          <w:rFonts w:hint="eastAsia"/>
        </w:rPr>
        <w:t>条修改为：</w:t>
      </w:r>
    </w:p>
    <w:p w14:paraId="514E738B">
      <w:pPr>
        <w:tabs>
          <w:tab w:val="left" w:pos="3120"/>
        </w:tabs>
        <w:spacing w:line="360" w:lineRule="auto"/>
        <w:ind w:firstLine="397"/>
      </w:pPr>
      <w:r>
        <w:t>4</w:t>
      </w:r>
      <w:r>
        <w:rPr>
          <w:rFonts w:hint="eastAsia"/>
        </w:rPr>
        <w:t>．当适用于工程的几种标准与规范出现意义不明或不一致时，应由监理人作出解释和校正，并就此向承包人发出指令。若在引用的标准或规范发生分歧时，除非本规范另有规定，应按以下顺序优先考虑：</w:t>
      </w:r>
    </w:p>
    <w:p w14:paraId="6326C5E1">
      <w:pPr>
        <w:tabs>
          <w:tab w:val="left" w:pos="3120"/>
        </w:tabs>
        <w:spacing w:line="360" w:lineRule="auto"/>
        <w:ind w:firstLine="397"/>
      </w:pPr>
      <w:r>
        <w:t>a</w:t>
      </w:r>
      <w:r>
        <w:rPr>
          <w:rFonts w:hint="eastAsia"/>
        </w:rPr>
        <w:t>．本</w:t>
      </w:r>
      <w:r>
        <w:rPr>
          <w:rFonts w:eastAsia="隶书"/>
        </w:rPr>
        <w:t>“</w:t>
      </w:r>
      <w:r>
        <w:rPr>
          <w:rFonts w:hint="eastAsia"/>
        </w:rPr>
        <w:t>项目专用技术规范</w:t>
      </w:r>
      <w:r>
        <w:rPr>
          <w:rFonts w:eastAsia="隶书"/>
        </w:rPr>
        <w:t>”</w:t>
      </w:r>
      <w:r>
        <w:rPr>
          <w:rFonts w:hint="eastAsia"/>
        </w:rPr>
        <w:t>。</w:t>
      </w:r>
    </w:p>
    <w:p w14:paraId="098DA86A">
      <w:pPr>
        <w:tabs>
          <w:tab w:val="left" w:pos="3120"/>
        </w:tabs>
        <w:spacing w:line="360" w:lineRule="auto"/>
        <w:ind w:firstLine="397"/>
      </w:pPr>
      <w:r>
        <w:t>b</w:t>
      </w:r>
      <w:r>
        <w:rPr>
          <w:rFonts w:hint="eastAsia"/>
        </w:rPr>
        <w:t>．</w:t>
      </w:r>
      <w:r>
        <w:rPr>
          <w:rFonts w:eastAsia="隶书"/>
        </w:rPr>
        <w:t>“</w:t>
      </w:r>
      <w:r>
        <w:rPr>
          <w:rFonts w:hint="eastAsia"/>
        </w:rPr>
        <w:t>通用技术规范</w:t>
      </w:r>
      <w:r>
        <w:rPr>
          <w:rFonts w:eastAsia="隶书"/>
        </w:rPr>
        <w:t>”</w:t>
      </w:r>
      <w:r>
        <w:rPr>
          <w:rFonts w:hint="eastAsia" w:eastAsia="隶书"/>
        </w:rPr>
        <w:t>（</w:t>
      </w:r>
      <w:r>
        <w:rPr>
          <w:rFonts w:hint="eastAsia"/>
        </w:rPr>
        <w:t>《公路工程标准施工招标文件》（</w:t>
      </w:r>
      <w:r>
        <w:t>2018</w:t>
      </w:r>
      <w:r>
        <w:rPr>
          <w:rFonts w:hint="eastAsia"/>
        </w:rPr>
        <w:t>年版</w:t>
      </w:r>
      <w:r>
        <w:t>·</w:t>
      </w:r>
      <w:r>
        <w:rPr>
          <w:rFonts w:hint="eastAsia"/>
        </w:rPr>
        <w:t>第二册）中的《技术规范》）。</w:t>
      </w:r>
    </w:p>
    <w:p w14:paraId="2CBF669E">
      <w:pPr>
        <w:tabs>
          <w:tab w:val="left" w:pos="3120"/>
        </w:tabs>
        <w:spacing w:line="360" w:lineRule="auto"/>
        <w:ind w:firstLine="397"/>
      </w:pPr>
      <w:r>
        <w:t>c</w:t>
      </w:r>
      <w:r>
        <w:rPr>
          <w:rFonts w:hint="eastAsia"/>
        </w:rPr>
        <w:t>．中华人民共和国国家标准。</w:t>
      </w:r>
    </w:p>
    <w:p w14:paraId="3A958525">
      <w:pPr>
        <w:tabs>
          <w:tab w:val="left" w:pos="3120"/>
        </w:tabs>
        <w:spacing w:line="360" w:lineRule="auto"/>
        <w:ind w:firstLine="397"/>
      </w:pPr>
      <w:r>
        <w:t>d</w:t>
      </w:r>
      <w:r>
        <w:rPr>
          <w:rFonts w:hint="eastAsia"/>
        </w:rPr>
        <w:t>．有关部门标准与规范。</w:t>
      </w:r>
    </w:p>
    <w:p w14:paraId="611EA49F">
      <w:pPr>
        <w:tabs>
          <w:tab w:val="left" w:pos="3120"/>
        </w:tabs>
        <w:spacing w:line="360" w:lineRule="auto"/>
      </w:pPr>
      <w:r>
        <w:rPr>
          <w:rFonts w:eastAsia="黑体"/>
          <w:sz w:val="28"/>
          <w:szCs w:val="28"/>
        </w:rPr>
        <w:t xml:space="preserve">101.08  </w:t>
      </w:r>
      <w:r>
        <w:rPr>
          <w:rFonts w:hint="eastAsia" w:eastAsia="黑体"/>
          <w:sz w:val="28"/>
          <w:szCs w:val="28"/>
        </w:rPr>
        <w:t>税金和保险</w:t>
      </w:r>
    </w:p>
    <w:p w14:paraId="5F65EF70">
      <w:pPr>
        <w:tabs>
          <w:tab w:val="left" w:pos="3120"/>
        </w:tabs>
        <w:spacing w:line="360" w:lineRule="auto"/>
        <w:ind w:firstLine="397"/>
      </w:pPr>
      <w:r>
        <w:rPr>
          <w:rFonts w:hint="eastAsia"/>
        </w:rPr>
        <w:t>本小节补充：</w:t>
      </w:r>
    </w:p>
    <w:p w14:paraId="46841B57">
      <w:pPr>
        <w:tabs>
          <w:tab w:val="left" w:pos="3120"/>
        </w:tabs>
        <w:spacing w:line="360" w:lineRule="auto"/>
        <w:ind w:firstLine="397"/>
      </w:pPr>
      <w:r>
        <w:t>4.</w:t>
      </w:r>
      <w:r>
        <w:rPr>
          <w:rFonts w:hint="eastAsia"/>
        </w:rPr>
        <w:t>保险替代不了承包人的管理责任，如发生工程事故造成损失，即便发包人为此获得保险赔付，根据事故性质，承包人责任大小，发包人仍有权要求承包人承担部分损失。</w:t>
      </w:r>
    </w:p>
    <w:p w14:paraId="22C1FEFF">
      <w:pPr>
        <w:tabs>
          <w:tab w:val="left" w:pos="3120"/>
        </w:tabs>
        <w:spacing w:line="360" w:lineRule="auto"/>
        <w:ind w:firstLine="397"/>
      </w:pPr>
    </w:p>
    <w:p w14:paraId="16B87B1A">
      <w:pPr>
        <w:pStyle w:val="7"/>
        <w:rPr>
          <w:sz w:val="32"/>
        </w:rPr>
      </w:pPr>
      <w:bookmarkStart w:id="391" w:name="_Toc154675159"/>
      <w:r>
        <w:rPr>
          <w:rFonts w:hint="eastAsia"/>
          <w:sz w:val="32"/>
        </w:rPr>
        <w:t>第</w:t>
      </w:r>
      <w:r>
        <w:rPr>
          <w:sz w:val="32"/>
        </w:rPr>
        <w:t>102</w:t>
      </w:r>
      <w:r>
        <w:rPr>
          <w:rFonts w:hint="eastAsia"/>
          <w:sz w:val="32"/>
        </w:rPr>
        <w:t>节</w:t>
      </w:r>
      <w:r>
        <w:rPr>
          <w:sz w:val="32"/>
        </w:rPr>
        <w:t xml:space="preserve">  </w:t>
      </w:r>
      <w:r>
        <w:rPr>
          <w:rFonts w:hint="eastAsia"/>
          <w:sz w:val="32"/>
        </w:rPr>
        <w:t>工程管理</w:t>
      </w:r>
      <w:bookmarkEnd w:id="391"/>
    </w:p>
    <w:p w14:paraId="635C75C0">
      <w:pPr>
        <w:tabs>
          <w:tab w:val="left" w:pos="3120"/>
        </w:tabs>
        <w:spacing w:line="360" w:lineRule="auto"/>
        <w:rPr>
          <w:rFonts w:eastAsia="黑体"/>
          <w:sz w:val="28"/>
          <w:szCs w:val="28"/>
        </w:rPr>
      </w:pPr>
      <w:r>
        <w:rPr>
          <w:rFonts w:eastAsia="黑体"/>
          <w:sz w:val="28"/>
          <w:szCs w:val="28"/>
        </w:rPr>
        <w:t xml:space="preserve">102.01  </w:t>
      </w:r>
      <w:r>
        <w:rPr>
          <w:rFonts w:hint="eastAsia" w:eastAsia="黑体"/>
          <w:sz w:val="28"/>
          <w:szCs w:val="28"/>
        </w:rPr>
        <w:t>一般要求</w:t>
      </w:r>
    </w:p>
    <w:p w14:paraId="57314226">
      <w:pPr>
        <w:tabs>
          <w:tab w:val="left" w:pos="3120"/>
        </w:tabs>
        <w:spacing w:line="360" w:lineRule="auto"/>
        <w:ind w:firstLine="397"/>
      </w:pPr>
      <w:r>
        <w:t>2</w:t>
      </w:r>
      <w:r>
        <w:rPr>
          <w:rFonts w:hint="eastAsia"/>
        </w:rPr>
        <w:t>．工程报告单</w:t>
      </w:r>
    </w:p>
    <w:p w14:paraId="3C48BB0E">
      <w:pPr>
        <w:tabs>
          <w:tab w:val="left" w:pos="3120"/>
        </w:tabs>
        <w:spacing w:line="360" w:lineRule="auto"/>
        <w:ind w:firstLine="397"/>
      </w:pPr>
      <w:r>
        <w:rPr>
          <w:rFonts w:hint="eastAsia"/>
        </w:rPr>
        <w:t>本条原内容后补充：</w:t>
      </w:r>
    </w:p>
    <w:p w14:paraId="12C2D722">
      <w:pPr>
        <w:tabs>
          <w:tab w:val="left" w:pos="3120"/>
        </w:tabs>
        <w:spacing w:line="360" w:lineRule="auto"/>
        <w:ind w:firstLine="397"/>
      </w:pPr>
      <w:r>
        <w:rPr>
          <w:rFonts w:hint="eastAsia"/>
        </w:rPr>
        <w:t>提交的各种工程报告单除纸件外还需提供内容相同的电子文件，文件格式须采用发包人指定的格式，并按发包人规定的方式进行编码，文件传送方式应符合发包人建立的信息管理系统的要求。</w:t>
      </w:r>
    </w:p>
    <w:p w14:paraId="6EF44C96">
      <w:pPr>
        <w:tabs>
          <w:tab w:val="left" w:pos="3120"/>
        </w:tabs>
        <w:spacing w:line="360" w:lineRule="auto"/>
        <w:ind w:firstLine="397"/>
      </w:pPr>
      <w:r>
        <w:t>3</w:t>
      </w:r>
      <w:r>
        <w:rPr>
          <w:rFonts w:hint="eastAsia"/>
        </w:rPr>
        <w:t>．制定施工进度计划和施工方案说明</w:t>
      </w:r>
    </w:p>
    <w:p w14:paraId="53739373">
      <w:pPr>
        <w:tabs>
          <w:tab w:val="left" w:pos="3120"/>
        </w:tabs>
        <w:spacing w:line="360" w:lineRule="auto"/>
        <w:ind w:firstLine="397"/>
      </w:pPr>
      <w:r>
        <w:rPr>
          <w:rFonts w:hint="eastAsia"/>
        </w:rPr>
        <w:t>本条第（</w:t>
      </w:r>
      <w:r>
        <w:t>1</w:t>
      </w:r>
      <w:r>
        <w:rPr>
          <w:rFonts w:hint="eastAsia"/>
        </w:rPr>
        <w:t>）款原内容后补充：</w:t>
      </w:r>
    </w:p>
    <w:p w14:paraId="64D591DD">
      <w:pPr>
        <w:tabs>
          <w:tab w:val="left" w:pos="3120"/>
        </w:tabs>
        <w:spacing w:line="360" w:lineRule="auto"/>
        <w:ind w:firstLine="397"/>
      </w:pPr>
      <w:r>
        <w:rPr>
          <w:rFonts w:hint="eastAsia"/>
        </w:rPr>
        <w:t>其内容应包括详细的施工组织、现场布置、施工方案、工程进度计划、资源（劳工、机械设备、原材料）供应计划、资金流量计划、质检体系与质保措施、安全体系与安全保证措施、信息管理体系等等，经监理人批准后实施。重大施工方案和施工组织设计要报发包人批准，如承包人提交的施工组织计划不符合要求，应退回承包人修改完善，直至符合要求为止。</w:t>
      </w:r>
    </w:p>
    <w:p w14:paraId="10B4F217">
      <w:pPr>
        <w:tabs>
          <w:tab w:val="left" w:pos="3120"/>
        </w:tabs>
        <w:spacing w:line="360" w:lineRule="auto"/>
        <w:ind w:firstLine="397"/>
      </w:pPr>
      <w:r>
        <w:rPr>
          <w:rFonts w:hint="eastAsia"/>
        </w:rPr>
        <w:t>补充第（</w:t>
      </w:r>
      <w:r>
        <w:t>9</w:t>
      </w:r>
      <w:r>
        <w:rPr>
          <w:rFonts w:hint="eastAsia"/>
        </w:rPr>
        <w:t>）、（</w:t>
      </w:r>
      <w:r>
        <w:t>10</w:t>
      </w:r>
      <w:r>
        <w:rPr>
          <w:rFonts w:hint="eastAsia"/>
        </w:rPr>
        <w:t>）、（</w:t>
      </w:r>
      <w:r>
        <w:t>11</w:t>
      </w:r>
      <w:r>
        <w:rPr>
          <w:rFonts w:hint="eastAsia"/>
        </w:rPr>
        <w:t>）（</w:t>
      </w:r>
      <w:r>
        <w:t>12</w:t>
      </w:r>
      <w:r>
        <w:rPr>
          <w:rFonts w:hint="eastAsia"/>
        </w:rPr>
        <w:t>）款：</w:t>
      </w:r>
    </w:p>
    <w:p w14:paraId="34B71B8E">
      <w:pPr>
        <w:tabs>
          <w:tab w:val="left" w:pos="3120"/>
        </w:tabs>
        <w:spacing w:line="360" w:lineRule="auto"/>
        <w:ind w:firstLine="397"/>
      </w:pPr>
      <w:r>
        <w:rPr>
          <w:rFonts w:hint="eastAsia"/>
        </w:rPr>
        <w:t>（</w:t>
      </w:r>
      <w:r>
        <w:t>9</w:t>
      </w:r>
      <w:r>
        <w:rPr>
          <w:rFonts w:hint="eastAsia"/>
        </w:rPr>
        <w:t>）承包人必须按照施工组织设计的要求确保投入及时到位，监理人应依据合同条款督促其实施。</w:t>
      </w:r>
    </w:p>
    <w:p w14:paraId="161F2B47">
      <w:pPr>
        <w:tabs>
          <w:tab w:val="left" w:pos="3120"/>
        </w:tabs>
        <w:spacing w:line="360" w:lineRule="auto"/>
        <w:ind w:firstLine="397"/>
      </w:pPr>
      <w:r>
        <w:rPr>
          <w:rFonts w:hint="eastAsia"/>
        </w:rPr>
        <w:t>（</w:t>
      </w:r>
      <w:r>
        <w:t>10</w:t>
      </w:r>
      <w:r>
        <w:rPr>
          <w:rFonts w:hint="eastAsia"/>
        </w:rPr>
        <w:t>）承包人应在施工组织设计中阐明防灾防损防疫及事故紧急处理的预案措施。其主要内容包括：</w:t>
      </w:r>
    </w:p>
    <w:p w14:paraId="1A7EEF5B">
      <w:pPr>
        <w:tabs>
          <w:tab w:val="left" w:pos="3120"/>
        </w:tabs>
        <w:spacing w:line="360" w:lineRule="auto"/>
        <w:ind w:firstLine="397"/>
      </w:pPr>
      <w:r>
        <w:t>a.</w:t>
      </w:r>
      <w:r>
        <w:rPr>
          <w:rFonts w:hint="eastAsia"/>
        </w:rPr>
        <w:t>承包人应明确制定施工中风险管理的技术要求。</w:t>
      </w:r>
    </w:p>
    <w:p w14:paraId="68CA3A93">
      <w:pPr>
        <w:tabs>
          <w:tab w:val="left" w:pos="3120"/>
        </w:tabs>
        <w:spacing w:line="360" w:lineRule="auto"/>
        <w:ind w:firstLine="397"/>
      </w:pPr>
      <w:r>
        <w:t>b.</w:t>
      </w:r>
      <w:r>
        <w:rPr>
          <w:rFonts w:hint="eastAsia"/>
        </w:rPr>
        <w:t>承包人应对施工中的大型施工机械的施工安全制定严格的安全保障措施。</w:t>
      </w:r>
    </w:p>
    <w:p w14:paraId="4008DCAB">
      <w:pPr>
        <w:tabs>
          <w:tab w:val="left" w:pos="3120"/>
        </w:tabs>
        <w:spacing w:line="360" w:lineRule="auto"/>
        <w:ind w:firstLine="397"/>
      </w:pPr>
      <w:r>
        <w:t>c.</w:t>
      </w:r>
      <w:r>
        <w:rPr>
          <w:rFonts w:hint="eastAsia"/>
        </w:rPr>
        <w:t>承包人应对施工中的大型施工机械制定一机一用的技术操作手册及安全手册，上岗人员为经过专业培训同时具备相应的操作资格的人员。</w:t>
      </w:r>
    </w:p>
    <w:p w14:paraId="70370001">
      <w:pPr>
        <w:tabs>
          <w:tab w:val="left" w:pos="3120"/>
        </w:tabs>
        <w:spacing w:line="360" w:lineRule="auto"/>
        <w:ind w:firstLine="397"/>
      </w:pPr>
      <w:r>
        <w:t>d.</w:t>
      </w:r>
      <w:r>
        <w:rPr>
          <w:rFonts w:hint="eastAsia"/>
        </w:rPr>
        <w:t>承包人对突发性自然灾害，在发生前应作好预报、预警的防范措施及灾后抢险的应急措施（包括组织落实措施、物资设备落实措施，抢险技术措施及技术防范改进措施）。</w:t>
      </w:r>
    </w:p>
    <w:p w14:paraId="59418E71">
      <w:pPr>
        <w:tabs>
          <w:tab w:val="left" w:pos="3120"/>
        </w:tabs>
        <w:spacing w:line="360" w:lineRule="auto"/>
        <w:ind w:firstLine="397"/>
      </w:pPr>
      <w:r>
        <w:rPr>
          <w:rFonts w:hint="eastAsia"/>
        </w:rPr>
        <w:t>（</w:t>
      </w:r>
      <w:r>
        <w:t>11</w:t>
      </w:r>
      <w:r>
        <w:rPr>
          <w:rFonts w:hint="eastAsia"/>
        </w:rPr>
        <w:t>）承包人编制的施工方案应充分考虑台风、季风、涌潮等不良气候对工程施工的影响。</w:t>
      </w:r>
    </w:p>
    <w:p w14:paraId="3ED0DD6F">
      <w:pPr>
        <w:tabs>
          <w:tab w:val="left" w:pos="3120"/>
        </w:tabs>
        <w:spacing w:line="360" w:lineRule="auto"/>
        <w:ind w:firstLine="397"/>
      </w:pPr>
      <w:r>
        <w:rPr>
          <w:rFonts w:hint="eastAsia"/>
        </w:rPr>
        <w:t>（</w:t>
      </w:r>
      <w:r>
        <w:t>12</w:t>
      </w:r>
      <w:r>
        <w:rPr>
          <w:rFonts w:hint="eastAsia"/>
        </w:rPr>
        <w:t>）承包人编制的本项目的特殊技术、工艺方案需经监理人及发包人批准，一般方案由监理人批准；技术、工艺方案批准前是否需要专家论证，由发包人决定。同时承包人的施工方案管理应按照发包人下发的相关规定执行。对于技术难度大，存在重大技术风险的技术、工艺方案，若需进行专家论证，由承包人组织召开专家评审会。</w:t>
      </w:r>
    </w:p>
    <w:p w14:paraId="2356952D">
      <w:pPr>
        <w:tabs>
          <w:tab w:val="left" w:pos="3120"/>
        </w:tabs>
        <w:spacing w:line="360" w:lineRule="auto"/>
        <w:ind w:firstLine="397"/>
      </w:pPr>
      <w:r>
        <w:t>4</w:t>
      </w:r>
      <w:r>
        <w:rPr>
          <w:rFonts w:hint="eastAsia"/>
        </w:rPr>
        <w:t>．工程信息化系统</w:t>
      </w:r>
    </w:p>
    <w:p w14:paraId="7C61AA4B">
      <w:pPr>
        <w:tabs>
          <w:tab w:val="left" w:pos="3120"/>
        </w:tabs>
        <w:spacing w:line="360" w:lineRule="auto"/>
        <w:ind w:firstLine="397"/>
      </w:pPr>
      <w:r>
        <w:rPr>
          <w:rFonts w:hint="eastAsia"/>
        </w:rPr>
        <w:t>补充第（</w:t>
      </w:r>
      <w:r>
        <w:t>4</w:t>
      </w:r>
      <w:r>
        <w:rPr>
          <w:rFonts w:hint="eastAsia"/>
        </w:rPr>
        <w:t>）、（</w:t>
      </w:r>
      <w:r>
        <w:t>5</w:t>
      </w:r>
      <w:r>
        <w:rPr>
          <w:rFonts w:hint="eastAsia"/>
        </w:rPr>
        <w:t>）款：</w:t>
      </w:r>
    </w:p>
    <w:p w14:paraId="18B63B55">
      <w:pPr>
        <w:tabs>
          <w:tab w:val="left" w:pos="3120"/>
        </w:tabs>
        <w:spacing w:line="360" w:lineRule="auto"/>
        <w:ind w:firstLine="397"/>
      </w:pPr>
      <w:r>
        <w:rPr>
          <w:rFonts w:hint="eastAsia"/>
        </w:rPr>
        <w:t>（</w:t>
      </w:r>
      <w:r>
        <w:t>4</w:t>
      </w:r>
      <w:r>
        <w:rPr>
          <w:rFonts w:hint="eastAsia"/>
        </w:rPr>
        <w:t>）工程信息化系统建设依据与内容。发包人根据建设管理的需要，为实现本项目建设信息化的施工管理而实施的工程信息化建设，应具备数据自动采集和上传功能，并按照“浙江省交通建设管理系统”、“浙路品质”系统的数据接口做好对接。承包人应按照《省交通运输厅关于印发</w:t>
      </w:r>
      <w:r>
        <w:t>&lt;</w:t>
      </w:r>
      <w:r>
        <w:rPr>
          <w:rFonts w:hint="eastAsia"/>
        </w:rPr>
        <w:t>浙江省公路水运工程项目智慧建设三年专项行动实施意见（</w:t>
      </w:r>
      <w:r>
        <w:t>2021-2023</w:t>
      </w:r>
      <w:r>
        <w:rPr>
          <w:rFonts w:hint="eastAsia"/>
        </w:rPr>
        <w:t>年）</w:t>
      </w:r>
      <w:r>
        <w:t>&gt;</w:t>
      </w:r>
      <w:r>
        <w:rPr>
          <w:rFonts w:hint="eastAsia"/>
        </w:rPr>
        <w:t>的通知》（浙交〔</w:t>
      </w:r>
      <w:r>
        <w:t>2021</w:t>
      </w:r>
      <w:r>
        <w:rPr>
          <w:rFonts w:hint="eastAsia"/>
        </w:rPr>
        <w:t>〕</w:t>
      </w:r>
      <w:r>
        <w:t>82</w:t>
      </w:r>
      <w:r>
        <w:rPr>
          <w:rFonts w:hint="eastAsia"/>
        </w:rPr>
        <w:t>号）《省交通运输厅关于加快推进全省交通建设工程视频监控系统安装工作的通知》和《关于深入推进阳光工程建设的意见》等的相关要求，分类分级做好项目智慧建设管理系统应用、物联网数据采集系统等相关配合和设备的系统运行维护，相关数据采集、录入、推送和统计分析等工作，做好专职系统操作人员的配备、培训和相关设施的配置、维护、备份管理等及一切与此有关的工作内容。</w:t>
      </w:r>
    </w:p>
    <w:p w14:paraId="1CA075FA">
      <w:pPr>
        <w:tabs>
          <w:tab w:val="left" w:pos="3120"/>
        </w:tabs>
        <w:spacing w:line="360" w:lineRule="auto"/>
        <w:ind w:firstLine="397"/>
      </w:pPr>
      <w:r>
        <w:rPr>
          <w:rFonts w:hint="eastAsia"/>
        </w:rPr>
        <w:t>补充第</w:t>
      </w:r>
      <w:r>
        <w:t>5</w:t>
      </w:r>
      <w:r>
        <w:rPr>
          <w:rFonts w:hint="eastAsia"/>
        </w:rPr>
        <w:t>条：</w:t>
      </w:r>
    </w:p>
    <w:p w14:paraId="43BEF307">
      <w:pPr>
        <w:tabs>
          <w:tab w:val="left" w:pos="3120"/>
        </w:tabs>
        <w:spacing w:line="360" w:lineRule="auto"/>
        <w:ind w:firstLine="397"/>
      </w:pPr>
      <w:r>
        <w:t>5</w:t>
      </w:r>
      <w:r>
        <w:rPr>
          <w:rFonts w:hint="eastAsia"/>
        </w:rPr>
        <w:t>、承包人应按照国家及浙江省交通运输厅公路建设标准化工地管理规定、安全施工管理规定、美丽公路、“平安工地”、平安百年品质工程、施工质量提升、原材料和产品质量管理、“质安文化进工地”等规定，进行工地标准化、施工标准化、管理标准化建设和安全、文明施工。承包人应按相关要求做到“三集中”。拌合场集中，钢筋加工场集中，预制场集中（包括小型预制构件集中），</w:t>
      </w:r>
      <w:r>
        <w:t>“</w:t>
      </w:r>
      <w:r>
        <w:rPr>
          <w:rFonts w:hint="eastAsia"/>
        </w:rPr>
        <w:t>三智能</w:t>
      </w:r>
      <w:r>
        <w:t>”</w:t>
      </w:r>
      <w:r>
        <w:rPr>
          <w:rFonts w:hint="eastAsia"/>
        </w:rPr>
        <w:t>钢筋数控智能加工设备（含钢筋笼自动加工系统），智能张拉和压浆系统，砼主要构件智能养护系统，机械臂自动电焊系统及视频监控系统（发包人统一实施），及大型桥梁场地门警系统。</w:t>
      </w:r>
    </w:p>
    <w:p w14:paraId="5C902CD1">
      <w:pPr>
        <w:tabs>
          <w:tab w:val="left" w:pos="3120"/>
        </w:tabs>
        <w:spacing w:line="360" w:lineRule="auto"/>
      </w:pPr>
      <w:r>
        <w:rPr>
          <w:rFonts w:eastAsia="黑体"/>
          <w:sz w:val="28"/>
          <w:szCs w:val="28"/>
        </w:rPr>
        <w:t xml:space="preserve">102.05  </w:t>
      </w:r>
      <w:r>
        <w:rPr>
          <w:rFonts w:hint="eastAsia" w:eastAsia="黑体"/>
          <w:sz w:val="28"/>
          <w:szCs w:val="28"/>
        </w:rPr>
        <w:t>施工方法与质量控制</w:t>
      </w:r>
    </w:p>
    <w:p w14:paraId="1F02E5B7">
      <w:pPr>
        <w:tabs>
          <w:tab w:val="left" w:pos="3120"/>
        </w:tabs>
        <w:spacing w:line="360" w:lineRule="auto"/>
        <w:ind w:firstLine="397"/>
      </w:pPr>
      <w:r>
        <w:rPr>
          <w:rFonts w:hint="eastAsia"/>
        </w:rPr>
        <w:t>补充第</w:t>
      </w:r>
      <w:r>
        <w:t>1</w:t>
      </w:r>
      <w:r>
        <w:rPr>
          <w:rFonts w:hint="eastAsia"/>
        </w:rPr>
        <w:t>条，原第</w:t>
      </w:r>
      <w:r>
        <w:t>1</w:t>
      </w:r>
      <w:r>
        <w:rPr>
          <w:rFonts w:hint="eastAsia"/>
        </w:rPr>
        <w:t>、</w:t>
      </w:r>
      <w:r>
        <w:t>2</w:t>
      </w:r>
      <w:r>
        <w:rPr>
          <w:rFonts w:hint="eastAsia"/>
        </w:rPr>
        <w:t>、</w:t>
      </w:r>
      <w:r>
        <w:t>3</w:t>
      </w:r>
      <w:r>
        <w:rPr>
          <w:rFonts w:hint="eastAsia"/>
        </w:rPr>
        <w:t>、</w:t>
      </w:r>
      <w:r>
        <w:t>4</w:t>
      </w:r>
      <w:r>
        <w:rPr>
          <w:rFonts w:hint="eastAsia"/>
        </w:rPr>
        <w:t>条改为第</w:t>
      </w:r>
      <w:r>
        <w:t>2</w:t>
      </w:r>
      <w:r>
        <w:rPr>
          <w:rFonts w:hint="eastAsia"/>
        </w:rPr>
        <w:t>、</w:t>
      </w:r>
      <w:r>
        <w:t>3</w:t>
      </w:r>
      <w:r>
        <w:rPr>
          <w:rFonts w:hint="eastAsia"/>
        </w:rPr>
        <w:t>、</w:t>
      </w:r>
      <w:r>
        <w:t>4</w:t>
      </w:r>
      <w:r>
        <w:rPr>
          <w:rFonts w:hint="eastAsia"/>
        </w:rPr>
        <w:t>、</w:t>
      </w:r>
      <w:r>
        <w:t>5</w:t>
      </w:r>
      <w:r>
        <w:rPr>
          <w:rFonts w:hint="eastAsia"/>
        </w:rPr>
        <w:t>条：</w:t>
      </w:r>
    </w:p>
    <w:p w14:paraId="6B59670D">
      <w:pPr>
        <w:tabs>
          <w:tab w:val="left" w:pos="3120"/>
        </w:tabs>
        <w:spacing w:line="360" w:lineRule="auto"/>
        <w:ind w:firstLine="397"/>
      </w:pPr>
      <w:r>
        <w:t>1</w:t>
      </w:r>
      <w:r>
        <w:rPr>
          <w:rFonts w:hint="eastAsia"/>
        </w:rPr>
        <w:t>．承包人是工程质量责任的主体，应按照规定落实质量岗位责任制，建立健全施工质量保证体系，实行质量责任登记制度。开工前，项目经理部必须建立</w:t>
      </w:r>
      <w:r>
        <w:t>“</w:t>
      </w:r>
      <w:r>
        <w:rPr>
          <w:rFonts w:hint="eastAsia"/>
        </w:rPr>
        <w:t>横向到边，纵向到底，控制有效</w:t>
      </w:r>
      <w:r>
        <w:t>”</w:t>
      </w:r>
      <w:r>
        <w:rPr>
          <w:rFonts w:hint="eastAsia"/>
        </w:rPr>
        <w:t>的质量自检体系</w:t>
      </w:r>
      <w:r>
        <w:t xml:space="preserve">, </w:t>
      </w:r>
      <w:r>
        <w:rPr>
          <w:rFonts w:hint="eastAsia"/>
        </w:rPr>
        <w:t>严格执行</w:t>
      </w:r>
      <w:r>
        <w:t>“</w:t>
      </w:r>
      <w:r>
        <w:rPr>
          <w:rFonts w:hint="eastAsia"/>
        </w:rPr>
        <w:t>三检</w:t>
      </w:r>
      <w:r>
        <w:t>”</w:t>
      </w:r>
      <w:r>
        <w:rPr>
          <w:rFonts w:hint="eastAsia"/>
        </w:rPr>
        <w:t>（自检、互检、交接检）制度。</w:t>
      </w:r>
    </w:p>
    <w:p w14:paraId="012EDF80">
      <w:pPr>
        <w:tabs>
          <w:tab w:val="left" w:pos="3120"/>
        </w:tabs>
        <w:spacing w:line="360" w:lineRule="auto"/>
        <w:ind w:firstLine="397"/>
      </w:pPr>
      <w:r>
        <w:rPr>
          <w:rFonts w:hint="eastAsia"/>
        </w:rPr>
        <w:t>补充第</w:t>
      </w:r>
      <w:r>
        <w:t>6</w:t>
      </w:r>
      <w:r>
        <w:rPr>
          <w:rFonts w:hint="eastAsia"/>
        </w:rPr>
        <w:t>、</w:t>
      </w:r>
      <w:r>
        <w:t>7</w:t>
      </w:r>
      <w:r>
        <w:rPr>
          <w:rFonts w:hint="eastAsia"/>
        </w:rPr>
        <w:t>、</w:t>
      </w:r>
      <w:r>
        <w:t>8</w:t>
      </w:r>
      <w:r>
        <w:rPr>
          <w:rFonts w:hint="eastAsia"/>
        </w:rPr>
        <w:t>、</w:t>
      </w:r>
      <w:r>
        <w:t>9</w:t>
      </w:r>
      <w:r>
        <w:rPr>
          <w:rFonts w:hint="eastAsia"/>
        </w:rPr>
        <w:t>、</w:t>
      </w:r>
      <w:r>
        <w:t>10</w:t>
      </w:r>
      <w:r>
        <w:rPr>
          <w:rFonts w:hint="eastAsia"/>
        </w:rPr>
        <w:t>条：</w:t>
      </w:r>
    </w:p>
    <w:p w14:paraId="3B864DC0">
      <w:pPr>
        <w:tabs>
          <w:tab w:val="left" w:pos="3120"/>
        </w:tabs>
        <w:spacing w:line="360" w:lineRule="auto"/>
        <w:ind w:firstLine="397"/>
      </w:pPr>
      <w:r>
        <w:t>6</w:t>
      </w:r>
      <w:r>
        <w:rPr>
          <w:rFonts w:hint="eastAsia"/>
        </w:rPr>
        <w:t>．承包人应重视质量通病的防治，对高填土不实、软土地基超限沉降、沥青路面早期破损、水泥路面断板开裂、路面不平、隧道渗漏水、桥面铺装层碎裂、桥梁伸缩缝松动、桥头跳车、防护工程和结构物表面粗糙、预应力结构管道压浆不饱满等质量通病必须根据技术规范要求制定预控措施。</w:t>
      </w:r>
      <w:r>
        <w:rPr>
          <w:rStyle w:val="80"/>
          <w:vertAlign w:val="superscript"/>
        </w:rPr>
        <w:footnoteReference w:id="33"/>
      </w:r>
    </w:p>
    <w:p w14:paraId="5838BB16">
      <w:pPr>
        <w:tabs>
          <w:tab w:val="left" w:pos="3120"/>
        </w:tabs>
        <w:spacing w:line="360" w:lineRule="auto"/>
        <w:ind w:firstLine="397"/>
      </w:pPr>
      <w:r>
        <w:t>7</w:t>
      </w:r>
      <w:r>
        <w:rPr>
          <w:rFonts w:hint="eastAsia"/>
        </w:rPr>
        <w:t>．所有水泥混凝土结构采用的混合料，均应使用混凝土拌和楼拌和、混凝土搅拌运输车运送。对于混凝土搅拌运输车确实无法到达的涵洞工程、</w:t>
      </w:r>
      <w:r>
        <w:t>5m</w:t>
      </w:r>
      <w:r>
        <w:rPr>
          <w:vertAlign w:val="superscript"/>
        </w:rPr>
        <w:t>3</w:t>
      </w:r>
      <w:r>
        <w:rPr>
          <w:rFonts w:hint="eastAsia"/>
        </w:rPr>
        <w:t>以下的零星混凝土工程需要采用混凝土搅拌机就地拌和的，应事先做好试验、明确质量保证措施并报监理人批准后方可实施。所有浆砌工程的水泥砂浆均采用机拌，严格按批准配合比进行控制。</w:t>
      </w:r>
    </w:p>
    <w:p w14:paraId="44E027D8">
      <w:pPr>
        <w:tabs>
          <w:tab w:val="left" w:pos="3120"/>
        </w:tabs>
        <w:spacing w:line="360" w:lineRule="auto"/>
        <w:ind w:firstLine="397"/>
      </w:pPr>
      <w:r>
        <w:t xml:space="preserve">8. </w:t>
      </w:r>
      <w:r>
        <w:rPr>
          <w:rFonts w:hint="eastAsia"/>
        </w:rPr>
        <w:t>承包人应当保证施工原材料和产品符合设计文件和合同要求，建立原材料和产品使用追溯机制，应当采购质量合格且无安全隐患的施工原材料和产品，应当立即将不合格情况报送监理单位和发包人。</w:t>
      </w:r>
    </w:p>
    <w:p w14:paraId="0B9120DB">
      <w:pPr>
        <w:tabs>
          <w:tab w:val="left" w:pos="3120"/>
        </w:tabs>
        <w:spacing w:line="360" w:lineRule="auto"/>
        <w:ind w:firstLine="397"/>
      </w:pPr>
      <w:r>
        <w:t>9</w:t>
      </w:r>
      <w:r>
        <w:rPr>
          <w:rFonts w:hint="eastAsia"/>
        </w:rPr>
        <w:t>．承包人应重视交通工业化产品与工程实际的有效衔接，采用交通工业化产品的工程项目需开展施工组织联合设计，局部优化产品构件，提升工业化产品制作、运输、安装中的效率。</w:t>
      </w:r>
    </w:p>
    <w:p w14:paraId="3CF282D7">
      <w:pPr>
        <w:tabs>
          <w:tab w:val="left" w:pos="3120"/>
        </w:tabs>
        <w:spacing w:line="360" w:lineRule="auto"/>
      </w:pPr>
      <w:r>
        <w:rPr>
          <w:rFonts w:eastAsia="黑体"/>
          <w:sz w:val="28"/>
          <w:szCs w:val="28"/>
        </w:rPr>
        <w:t xml:space="preserve">102.08  </w:t>
      </w:r>
      <w:r>
        <w:rPr>
          <w:rFonts w:hint="eastAsia" w:eastAsia="黑体"/>
          <w:sz w:val="28"/>
          <w:szCs w:val="28"/>
        </w:rPr>
        <w:t>工程记录与竣工文件</w:t>
      </w:r>
    </w:p>
    <w:p w14:paraId="56E997F3">
      <w:pPr>
        <w:tabs>
          <w:tab w:val="left" w:pos="3120"/>
        </w:tabs>
        <w:spacing w:line="360" w:lineRule="auto"/>
        <w:ind w:firstLine="397"/>
      </w:pPr>
      <w:r>
        <w:rPr>
          <w:rFonts w:hint="eastAsia"/>
        </w:rPr>
        <w:t>第</w:t>
      </w:r>
      <w:r>
        <w:t>3</w:t>
      </w:r>
      <w:r>
        <w:rPr>
          <w:rFonts w:hint="eastAsia"/>
        </w:rPr>
        <w:t>条修改为：</w:t>
      </w:r>
    </w:p>
    <w:p w14:paraId="55F3DCB8">
      <w:pPr>
        <w:tabs>
          <w:tab w:val="left" w:pos="3120"/>
        </w:tabs>
        <w:spacing w:line="360" w:lineRule="auto"/>
        <w:ind w:firstLine="397"/>
      </w:pPr>
      <w:r>
        <w:t>3.</w:t>
      </w:r>
      <w:r>
        <w:rPr>
          <w:rFonts w:hint="eastAsia"/>
        </w:rPr>
        <w:t>承包人应按照交通运输部《公路工程竣（交）工验收办法》、《公路工程竣（交）工验收办法实施细则》和浙江省交通运输厅交竣工验收相关办法及其他相关规定编制竣工资料。全部工程完工后，在全部工程的交工验收证书签发之前，承包人须按合同条款规定向发包人提交监理人确认完整、合格的竣工文件。在缺陷责任期内，承包人应补充竣工资料，并在缺陷责任期满</w:t>
      </w:r>
      <w:r>
        <w:t>45</w:t>
      </w:r>
      <w:r>
        <w:rPr>
          <w:rFonts w:hint="eastAsia"/>
        </w:rPr>
        <w:t>天之前提交。</w:t>
      </w:r>
    </w:p>
    <w:p w14:paraId="0081C42A">
      <w:pPr>
        <w:tabs>
          <w:tab w:val="left" w:pos="3120"/>
        </w:tabs>
        <w:spacing w:line="360" w:lineRule="auto"/>
        <w:ind w:firstLine="397"/>
      </w:pPr>
      <w:r>
        <w:rPr>
          <w:rFonts w:hint="eastAsia"/>
        </w:rPr>
        <w:t>补充第</w:t>
      </w:r>
      <w:r>
        <w:t>4</w:t>
      </w:r>
      <w:r>
        <w:rPr>
          <w:rFonts w:hint="eastAsia"/>
        </w:rPr>
        <w:t>、</w:t>
      </w:r>
      <w:r>
        <w:t>5</w:t>
      </w:r>
      <w:r>
        <w:rPr>
          <w:rFonts w:hint="eastAsia"/>
        </w:rPr>
        <w:t>、</w:t>
      </w:r>
      <w:r>
        <w:t>6</w:t>
      </w:r>
      <w:r>
        <w:rPr>
          <w:rFonts w:hint="eastAsia"/>
        </w:rPr>
        <w:t>、</w:t>
      </w:r>
      <w:r>
        <w:t>7</w:t>
      </w:r>
      <w:r>
        <w:rPr>
          <w:rFonts w:hint="eastAsia"/>
        </w:rPr>
        <w:t>条：</w:t>
      </w:r>
    </w:p>
    <w:p w14:paraId="3E601945">
      <w:pPr>
        <w:tabs>
          <w:tab w:val="left" w:pos="3120"/>
        </w:tabs>
        <w:spacing w:line="360" w:lineRule="auto"/>
        <w:ind w:firstLine="397"/>
      </w:pPr>
      <w:r>
        <w:t>4</w:t>
      </w:r>
      <w:r>
        <w:rPr>
          <w:rFonts w:hint="eastAsia"/>
        </w:rPr>
        <w:t>．本工程的信息发布应按照施工合同文件约定及发包人制定的相关信息发布管理办法规定执行。有关本工程的情况，承包人不能以任何手段出版任何资料和刊物。承包人应将合同的所有细节作为保密资料对待，未经发包人的事先批准，合同的任何部分或与本工程有关的详细资料不应在任何报纸、商业或技术文献上刊登或披露，包括工程技术详图。承包人不得用工程照片作宣传，除非事先得到发包人书面同意。</w:t>
      </w:r>
    </w:p>
    <w:p w14:paraId="0B0A95D2">
      <w:pPr>
        <w:tabs>
          <w:tab w:val="left" w:pos="3120"/>
        </w:tabs>
        <w:spacing w:line="360" w:lineRule="auto"/>
        <w:ind w:firstLine="397"/>
      </w:pPr>
      <w:r>
        <w:rPr>
          <w:rFonts w:hint="eastAsia"/>
        </w:rPr>
        <w:t>承包人也不应在现场或施工设施上展示或允许展示任何贸易和商业性广告。在工地现场张贴布告，应事先得到监理人的批准，必要时应得到发包人批准，当监理人或发包人指示撤除时，应立即执行。</w:t>
      </w:r>
    </w:p>
    <w:p w14:paraId="3BE98F64">
      <w:pPr>
        <w:tabs>
          <w:tab w:val="left" w:pos="3120"/>
        </w:tabs>
        <w:spacing w:line="360" w:lineRule="auto"/>
        <w:ind w:firstLine="397"/>
      </w:pPr>
      <w:r>
        <w:t>5</w:t>
      </w:r>
      <w:r>
        <w:rPr>
          <w:rFonts w:hint="eastAsia"/>
        </w:rPr>
        <w:t>．交工所需文件应组卷成册，如档案部门另有规定的，除内容按上述文件要求编制外，还应符合档案部门的要求。</w:t>
      </w:r>
    </w:p>
    <w:p w14:paraId="63ED4BDD">
      <w:pPr>
        <w:tabs>
          <w:tab w:val="left" w:pos="3120"/>
        </w:tabs>
        <w:spacing w:line="360" w:lineRule="auto"/>
        <w:ind w:firstLine="397"/>
      </w:pPr>
      <w:r>
        <w:t>6</w:t>
      </w:r>
      <w:r>
        <w:rPr>
          <w:rFonts w:hint="eastAsia"/>
        </w:rPr>
        <w:t>．竣工文件的原始件应单独集中编订在一套内，归发包人所有（留存）。</w:t>
      </w:r>
    </w:p>
    <w:p w14:paraId="07829C58">
      <w:pPr>
        <w:tabs>
          <w:tab w:val="left" w:pos="3120"/>
        </w:tabs>
        <w:spacing w:line="360" w:lineRule="auto"/>
      </w:pPr>
      <w:r>
        <w:rPr>
          <w:rFonts w:eastAsia="黑体"/>
          <w:sz w:val="28"/>
          <w:szCs w:val="28"/>
        </w:rPr>
        <w:t xml:space="preserve">102.13  </w:t>
      </w:r>
      <w:r>
        <w:rPr>
          <w:rFonts w:hint="eastAsia" w:eastAsia="黑体"/>
          <w:sz w:val="28"/>
          <w:szCs w:val="28"/>
        </w:rPr>
        <w:t>安全保护与事故报告</w:t>
      </w:r>
    </w:p>
    <w:p w14:paraId="1C8E6B20">
      <w:pPr>
        <w:tabs>
          <w:tab w:val="left" w:pos="3120"/>
        </w:tabs>
        <w:spacing w:line="360" w:lineRule="auto"/>
        <w:ind w:firstLine="397"/>
      </w:pPr>
      <w:r>
        <w:t>3</w:t>
      </w:r>
      <w:r>
        <w:rPr>
          <w:rFonts w:hint="eastAsia"/>
        </w:rPr>
        <w:t>．安全标志</w:t>
      </w:r>
    </w:p>
    <w:p w14:paraId="41867B8C">
      <w:pPr>
        <w:tabs>
          <w:tab w:val="left" w:pos="3120"/>
        </w:tabs>
        <w:spacing w:line="360" w:lineRule="auto"/>
        <w:ind w:firstLine="397"/>
      </w:pPr>
      <w:r>
        <w:rPr>
          <w:rFonts w:hint="eastAsia"/>
        </w:rPr>
        <w:t>补充第（</w:t>
      </w:r>
      <w:r>
        <w:t>4</w:t>
      </w:r>
      <w:r>
        <w:rPr>
          <w:rFonts w:hint="eastAsia"/>
        </w:rPr>
        <w:t>）款：</w:t>
      </w:r>
    </w:p>
    <w:p w14:paraId="40FFE716">
      <w:pPr>
        <w:tabs>
          <w:tab w:val="left" w:pos="3120"/>
        </w:tabs>
        <w:spacing w:line="360" w:lineRule="auto"/>
        <w:ind w:firstLine="397"/>
      </w:pPr>
      <w:r>
        <w:rPr>
          <w:rFonts w:hint="eastAsia"/>
        </w:rPr>
        <w:t>（</w:t>
      </w:r>
      <w:r>
        <w:t>4</w:t>
      </w:r>
      <w:r>
        <w:rPr>
          <w:rFonts w:hint="eastAsia"/>
        </w:rPr>
        <w:t>）承包人应根据《关于在我省政府投资公路水运建设工程中推行安全质量远程视频监控系统的通知》（浙交〔</w:t>
      </w:r>
      <w:r>
        <w:t>2013</w:t>
      </w:r>
      <w:r>
        <w:rPr>
          <w:rFonts w:hint="eastAsia"/>
        </w:rPr>
        <w:t>〕</w:t>
      </w:r>
      <w:r>
        <w:t>120</w:t>
      </w:r>
      <w:r>
        <w:rPr>
          <w:rFonts w:hint="eastAsia"/>
        </w:rPr>
        <w:t>号）要求对全线配置安全生产所需的施工安全视频监控系统，并应做到施工现场监控无盲点，包括设备的配置、安装、维护、储存、备份管理及网络构筑等一切与此相关的作业，发包人不另行计量与支付。</w:t>
      </w:r>
    </w:p>
    <w:p w14:paraId="5F36F7A8">
      <w:pPr>
        <w:tabs>
          <w:tab w:val="left" w:pos="3120"/>
        </w:tabs>
        <w:spacing w:line="360" w:lineRule="auto"/>
        <w:ind w:firstLine="397"/>
      </w:pPr>
    </w:p>
    <w:p w14:paraId="527590DB">
      <w:pPr>
        <w:tabs>
          <w:tab w:val="left" w:pos="3120"/>
        </w:tabs>
        <w:spacing w:line="360" w:lineRule="auto"/>
        <w:ind w:firstLine="397"/>
      </w:pPr>
    </w:p>
    <w:p w14:paraId="63C6A999">
      <w:pPr>
        <w:pStyle w:val="7"/>
        <w:rPr>
          <w:sz w:val="32"/>
        </w:rPr>
      </w:pPr>
      <w:bookmarkStart w:id="392" w:name="_Toc154675160"/>
      <w:r>
        <w:rPr>
          <w:rFonts w:hint="eastAsia"/>
          <w:sz w:val="32"/>
        </w:rPr>
        <w:t>第</w:t>
      </w:r>
      <w:r>
        <w:rPr>
          <w:sz w:val="32"/>
        </w:rPr>
        <w:t>103</w:t>
      </w:r>
      <w:r>
        <w:rPr>
          <w:rFonts w:hint="eastAsia"/>
          <w:sz w:val="32"/>
        </w:rPr>
        <w:t>节</w:t>
      </w:r>
      <w:r>
        <w:rPr>
          <w:sz w:val="32"/>
        </w:rPr>
        <w:t xml:space="preserve">  </w:t>
      </w:r>
      <w:r>
        <w:rPr>
          <w:rFonts w:hint="eastAsia"/>
          <w:sz w:val="32"/>
        </w:rPr>
        <w:t>临时工程与设施</w:t>
      </w:r>
      <w:bookmarkEnd w:id="392"/>
    </w:p>
    <w:p w14:paraId="326FD86E">
      <w:pPr>
        <w:tabs>
          <w:tab w:val="left" w:pos="3120"/>
        </w:tabs>
        <w:spacing w:line="360" w:lineRule="auto"/>
        <w:rPr>
          <w:rFonts w:eastAsia="黑体"/>
          <w:sz w:val="28"/>
          <w:szCs w:val="28"/>
        </w:rPr>
      </w:pPr>
      <w:r>
        <w:rPr>
          <w:rFonts w:eastAsia="黑体"/>
          <w:sz w:val="28"/>
          <w:szCs w:val="28"/>
        </w:rPr>
        <w:t xml:space="preserve">103.01 </w:t>
      </w:r>
      <w:r>
        <w:rPr>
          <w:rFonts w:hint="eastAsia" w:eastAsia="黑体"/>
          <w:sz w:val="28"/>
          <w:szCs w:val="28"/>
        </w:rPr>
        <w:t>一般要求</w:t>
      </w:r>
    </w:p>
    <w:p w14:paraId="0557B9B8">
      <w:pPr>
        <w:tabs>
          <w:tab w:val="left" w:pos="3120"/>
        </w:tabs>
        <w:spacing w:line="360" w:lineRule="auto"/>
        <w:ind w:firstLine="397"/>
      </w:pPr>
      <w:r>
        <w:rPr>
          <w:rFonts w:hint="eastAsia"/>
        </w:rPr>
        <w:t>补充第</w:t>
      </w:r>
      <w:r>
        <w:t>8</w:t>
      </w:r>
      <w:r>
        <w:rPr>
          <w:rFonts w:hint="eastAsia"/>
        </w:rPr>
        <w:t>条：</w:t>
      </w:r>
    </w:p>
    <w:p w14:paraId="210D8DB3">
      <w:pPr>
        <w:tabs>
          <w:tab w:val="left" w:pos="3120"/>
        </w:tabs>
        <w:spacing w:line="360" w:lineRule="auto"/>
        <w:ind w:firstLine="397"/>
        <w:rPr>
          <w:rFonts w:eastAsia="黑体"/>
          <w:sz w:val="32"/>
        </w:rPr>
      </w:pPr>
      <w:r>
        <w:t>8</w:t>
      </w:r>
      <w:r>
        <w:rPr>
          <w:rFonts w:hint="eastAsia"/>
        </w:rPr>
        <w:t>．承包人应按照《关于开展高速公路施工标准化活动的通知》、《高速公路施工标准化技术指南》、《浙江省高速公路建设工程标准化工地管理规定》、《浙江省高速公路施工标准化管理实施细则》等规定的要求执行。</w:t>
      </w:r>
    </w:p>
    <w:p w14:paraId="5CF0ED10">
      <w:pPr>
        <w:tabs>
          <w:tab w:val="left" w:pos="3120"/>
        </w:tabs>
        <w:spacing w:line="360" w:lineRule="auto"/>
      </w:pPr>
      <w:r>
        <w:rPr>
          <w:rFonts w:eastAsia="黑体"/>
          <w:sz w:val="28"/>
          <w:szCs w:val="28"/>
        </w:rPr>
        <w:t xml:space="preserve">103.04  </w:t>
      </w:r>
      <w:r>
        <w:rPr>
          <w:rFonts w:hint="eastAsia" w:eastAsia="黑体"/>
          <w:sz w:val="28"/>
          <w:szCs w:val="28"/>
        </w:rPr>
        <w:t>临时占地</w:t>
      </w:r>
    </w:p>
    <w:p w14:paraId="7256ED63">
      <w:pPr>
        <w:tabs>
          <w:tab w:val="left" w:pos="3120"/>
        </w:tabs>
        <w:spacing w:line="360" w:lineRule="auto"/>
        <w:ind w:firstLine="397"/>
      </w:pPr>
      <w:r>
        <w:rPr>
          <w:rFonts w:hint="eastAsia"/>
        </w:rPr>
        <w:t>补充第</w:t>
      </w:r>
      <w:r>
        <w:t>3</w:t>
      </w:r>
      <w:r>
        <w:rPr>
          <w:rFonts w:hint="eastAsia"/>
        </w:rPr>
        <w:t>条：</w:t>
      </w:r>
    </w:p>
    <w:p w14:paraId="205BF55E">
      <w:pPr>
        <w:tabs>
          <w:tab w:val="left" w:pos="3120"/>
        </w:tabs>
        <w:spacing w:line="360" w:lineRule="auto"/>
        <w:ind w:firstLine="397"/>
      </w:pPr>
      <w:r>
        <w:t>3</w:t>
      </w:r>
      <w:r>
        <w:rPr>
          <w:rFonts w:hint="eastAsia"/>
        </w:rPr>
        <w:t>．如因承包人撤离后未按要求对临时占地进行恢复或虽进行了恢复但未达到使用标准而与当地发生纠纷，导致发包人发生额外支出时，发包人将从应付给承包人的任何款项内扣除所支出费用。</w:t>
      </w:r>
    </w:p>
    <w:p w14:paraId="0A239F06">
      <w:pPr>
        <w:tabs>
          <w:tab w:val="left" w:pos="3120"/>
        </w:tabs>
        <w:spacing w:line="360" w:lineRule="auto"/>
        <w:ind w:firstLine="397"/>
      </w:pPr>
    </w:p>
    <w:p w14:paraId="5D350CF6">
      <w:pPr>
        <w:pStyle w:val="7"/>
        <w:rPr>
          <w:sz w:val="32"/>
        </w:rPr>
      </w:pPr>
      <w:bookmarkStart w:id="393" w:name="_Toc154675161"/>
      <w:r>
        <w:rPr>
          <w:rFonts w:hint="eastAsia"/>
          <w:sz w:val="32"/>
        </w:rPr>
        <w:t>第</w:t>
      </w:r>
      <w:r>
        <w:rPr>
          <w:sz w:val="32"/>
        </w:rPr>
        <w:t>105</w:t>
      </w:r>
      <w:r>
        <w:rPr>
          <w:rFonts w:hint="eastAsia"/>
          <w:sz w:val="32"/>
        </w:rPr>
        <w:t>节</w:t>
      </w:r>
      <w:r>
        <w:rPr>
          <w:sz w:val="32"/>
        </w:rPr>
        <w:t xml:space="preserve">  </w:t>
      </w:r>
      <w:r>
        <w:rPr>
          <w:rFonts w:hint="eastAsia"/>
          <w:sz w:val="32"/>
        </w:rPr>
        <w:t>施工标准化</w:t>
      </w:r>
      <w:bookmarkEnd w:id="393"/>
    </w:p>
    <w:p w14:paraId="6ECE0F50">
      <w:pPr>
        <w:jc w:val="center"/>
        <w:rPr>
          <w:rFonts w:eastAsia="方正姚体"/>
          <w:w w:val="80"/>
          <w:sz w:val="32"/>
        </w:rPr>
      </w:pPr>
    </w:p>
    <w:p w14:paraId="10EF48A8">
      <w:pPr>
        <w:tabs>
          <w:tab w:val="left" w:pos="3120"/>
        </w:tabs>
        <w:spacing w:line="360" w:lineRule="auto"/>
        <w:rPr>
          <w:rFonts w:eastAsia="黑体"/>
          <w:sz w:val="28"/>
          <w:szCs w:val="28"/>
        </w:rPr>
      </w:pPr>
      <w:r>
        <w:rPr>
          <w:rFonts w:eastAsia="黑体"/>
          <w:sz w:val="28"/>
          <w:szCs w:val="28"/>
        </w:rPr>
        <w:t xml:space="preserve">105.01  </w:t>
      </w:r>
      <w:r>
        <w:rPr>
          <w:rFonts w:hint="eastAsia" w:eastAsia="黑体"/>
          <w:sz w:val="28"/>
          <w:szCs w:val="28"/>
        </w:rPr>
        <w:t>一般要求</w:t>
      </w:r>
      <w:r>
        <w:rPr>
          <w:rFonts w:eastAsia="黑体"/>
          <w:sz w:val="28"/>
          <w:szCs w:val="28"/>
        </w:rPr>
        <w:t xml:space="preserve"> </w:t>
      </w:r>
    </w:p>
    <w:p w14:paraId="4EDDE3D4">
      <w:pPr>
        <w:tabs>
          <w:tab w:val="left" w:pos="3120"/>
        </w:tabs>
        <w:spacing w:line="360" w:lineRule="auto"/>
        <w:ind w:firstLine="397"/>
      </w:pPr>
      <w:r>
        <w:rPr>
          <w:rFonts w:hint="eastAsia"/>
        </w:rPr>
        <w:t>补充第</w:t>
      </w:r>
      <w:r>
        <w:t>5</w:t>
      </w:r>
      <w:r>
        <w:rPr>
          <w:rFonts w:hint="eastAsia"/>
        </w:rPr>
        <w:t>条、第</w:t>
      </w:r>
      <w:r>
        <w:t>6</w:t>
      </w:r>
      <w:r>
        <w:rPr>
          <w:rFonts w:hint="eastAsia"/>
        </w:rPr>
        <w:t>条、第</w:t>
      </w:r>
      <w:r>
        <w:t>7</w:t>
      </w:r>
      <w:r>
        <w:rPr>
          <w:rFonts w:hint="eastAsia"/>
        </w:rPr>
        <w:t>条、第</w:t>
      </w:r>
      <w:r>
        <w:t>8</w:t>
      </w:r>
      <w:r>
        <w:rPr>
          <w:rFonts w:hint="eastAsia"/>
        </w:rPr>
        <w:t>条：</w:t>
      </w:r>
    </w:p>
    <w:p w14:paraId="1E6E5505">
      <w:pPr>
        <w:tabs>
          <w:tab w:val="left" w:pos="3120"/>
        </w:tabs>
        <w:spacing w:line="360" w:lineRule="auto"/>
        <w:ind w:firstLine="397"/>
      </w:pPr>
      <w:r>
        <w:t>5</w:t>
      </w:r>
      <w:r>
        <w:rPr>
          <w:rFonts w:hint="eastAsia"/>
        </w:rPr>
        <w:t>．承包人驻地建设必须按交通运输部及浙江省交通运输厅公路建设工程标准化工地管理规定等要求进行工地标准化、工艺标准化和管理标准化建设。承包人应按相关要求在标准化工地建设过程中还须配备钢筋数控加工设备、钢筋笼点焊系统、智能张拉和真空压浆系统以及视频监控系统等，承包人驻地建设实施方案须报经监理人和发包人审核批准后方可实施，承包人应综合考虑各种因素按总额进行报价。</w:t>
      </w:r>
    </w:p>
    <w:p w14:paraId="1E429B0A">
      <w:pPr>
        <w:tabs>
          <w:tab w:val="left" w:pos="3120"/>
        </w:tabs>
        <w:spacing w:line="360" w:lineRule="auto"/>
        <w:ind w:firstLine="397"/>
      </w:pPr>
      <w:r>
        <w:rPr>
          <w:rFonts w:hint="eastAsia"/>
        </w:rPr>
        <w:t>承包人应按相关要求在标准化工地建设过程中还须按照要求对施工区域进行封闭围挡，应按相关要求建设阳光工程动态管理系统、远程视频监控系统，承包人在开工前应根据行业标准化建设有关要求，结合工程特点，按照设计文件和合同文件要求编。</w:t>
      </w:r>
    </w:p>
    <w:p w14:paraId="0686E864">
      <w:pPr>
        <w:tabs>
          <w:tab w:val="left" w:pos="3120"/>
        </w:tabs>
        <w:spacing w:line="360" w:lineRule="auto"/>
        <w:ind w:firstLine="397"/>
      </w:pPr>
      <w:r>
        <w:t>6</w:t>
      </w:r>
      <w:r>
        <w:rPr>
          <w:rFonts w:hint="eastAsia"/>
        </w:rPr>
        <w:t>．施工现场临时搭建的建筑物及其他设施应当符合安全使用要求。</w:t>
      </w:r>
    </w:p>
    <w:p w14:paraId="07989831">
      <w:pPr>
        <w:tabs>
          <w:tab w:val="left" w:pos="3120"/>
        </w:tabs>
        <w:spacing w:line="360" w:lineRule="auto"/>
        <w:ind w:firstLine="397"/>
      </w:pPr>
      <w:r>
        <w:t xml:space="preserve">7. </w:t>
      </w:r>
      <w:r>
        <w:rPr>
          <w:rFonts w:hint="eastAsia"/>
        </w:rPr>
        <w:t>承包人驻地建设方案，应经监理人、发包人审批同意后实施。</w:t>
      </w:r>
    </w:p>
    <w:p w14:paraId="55ED9445">
      <w:pPr>
        <w:tabs>
          <w:tab w:val="left" w:pos="3120"/>
        </w:tabs>
        <w:spacing w:line="360" w:lineRule="auto"/>
        <w:ind w:firstLine="397"/>
      </w:pPr>
      <w:r>
        <w:t xml:space="preserve">8. </w:t>
      </w:r>
      <w:r>
        <w:rPr>
          <w:rFonts w:hint="eastAsia"/>
        </w:rPr>
        <w:t>工程交工验收后</w:t>
      </w:r>
      <w:r>
        <w:t>60</w:t>
      </w:r>
      <w:r>
        <w:rPr>
          <w:rFonts w:hint="eastAsia"/>
        </w:rPr>
        <w:t>天，承包人应负责将本合同所有驻地中的一切建筑物及其固定设备和附件全部拆迁完成，同时负责将驻地、临时用地及标段内的施工场地恢复原状；桥下中分带用地按照设计方案进行整修、绿化，达到环保验收要求。</w:t>
      </w:r>
    </w:p>
    <w:p w14:paraId="37185C19">
      <w:pPr>
        <w:jc w:val="left"/>
        <w:outlineLvl w:val="9"/>
      </w:pPr>
      <w:r>
        <w:br w:type="page"/>
      </w:r>
      <w:bookmarkStart w:id="394" w:name="_Toc484679340"/>
    </w:p>
    <w:p w14:paraId="51D850C5">
      <w:pPr>
        <w:tabs>
          <w:tab w:val="left" w:pos="3120"/>
        </w:tabs>
        <w:jc w:val="center"/>
        <w:outlineLvl w:val="2"/>
        <w:rPr>
          <w:rFonts w:eastAsia="黑体"/>
          <w:sz w:val="44"/>
        </w:rPr>
      </w:pPr>
      <w:bookmarkStart w:id="395" w:name="_Toc154675162"/>
      <w:bookmarkStart w:id="396" w:name="_Toc23843"/>
      <w:r>
        <w:rPr>
          <w:rFonts w:hint="eastAsia" w:eastAsia="黑体"/>
          <w:sz w:val="44"/>
        </w:rPr>
        <w:t>第</w:t>
      </w:r>
      <w:r>
        <w:rPr>
          <w:rFonts w:eastAsia="黑体"/>
          <w:sz w:val="44"/>
        </w:rPr>
        <w:t>200</w:t>
      </w:r>
      <w:r>
        <w:rPr>
          <w:rFonts w:hint="eastAsia" w:eastAsia="黑体"/>
          <w:sz w:val="44"/>
        </w:rPr>
        <w:t>章</w:t>
      </w:r>
      <w:r>
        <w:rPr>
          <w:rFonts w:eastAsia="黑体"/>
          <w:sz w:val="44"/>
        </w:rPr>
        <w:t xml:space="preserve">  </w:t>
      </w:r>
      <w:r>
        <w:rPr>
          <w:rFonts w:hint="eastAsia" w:eastAsia="黑体"/>
          <w:sz w:val="44"/>
        </w:rPr>
        <w:t>路</w:t>
      </w:r>
      <w:r>
        <w:rPr>
          <w:rFonts w:eastAsia="黑体"/>
          <w:sz w:val="44"/>
        </w:rPr>
        <w:t xml:space="preserve">    </w:t>
      </w:r>
      <w:r>
        <w:rPr>
          <w:rFonts w:hint="eastAsia" w:eastAsia="黑体"/>
          <w:sz w:val="44"/>
        </w:rPr>
        <w:t>基</w:t>
      </w:r>
      <w:bookmarkEnd w:id="394"/>
      <w:bookmarkEnd w:id="395"/>
      <w:bookmarkEnd w:id="396"/>
    </w:p>
    <w:p w14:paraId="4A7BFED4">
      <w:pPr>
        <w:tabs>
          <w:tab w:val="left" w:pos="3120"/>
        </w:tabs>
        <w:jc w:val="center"/>
        <w:rPr>
          <w:rFonts w:eastAsia="黑体"/>
          <w:sz w:val="44"/>
        </w:rPr>
      </w:pPr>
    </w:p>
    <w:p w14:paraId="2F8FDA6C">
      <w:pPr>
        <w:pStyle w:val="7"/>
        <w:rPr>
          <w:sz w:val="32"/>
        </w:rPr>
      </w:pPr>
      <w:bookmarkStart w:id="397" w:name="_Toc154675163"/>
      <w:r>
        <w:rPr>
          <w:rFonts w:hint="eastAsia"/>
          <w:sz w:val="32"/>
        </w:rPr>
        <w:t>第</w:t>
      </w:r>
      <w:r>
        <w:rPr>
          <w:sz w:val="32"/>
        </w:rPr>
        <w:t>201</w:t>
      </w:r>
      <w:r>
        <w:rPr>
          <w:rFonts w:hint="eastAsia"/>
          <w:sz w:val="32"/>
        </w:rPr>
        <w:t>节</w:t>
      </w:r>
      <w:r>
        <w:rPr>
          <w:sz w:val="32"/>
        </w:rPr>
        <w:t xml:space="preserve">  </w:t>
      </w:r>
      <w:r>
        <w:rPr>
          <w:rFonts w:hint="eastAsia"/>
          <w:sz w:val="32"/>
        </w:rPr>
        <w:t>通</w:t>
      </w:r>
      <w:r>
        <w:rPr>
          <w:sz w:val="32"/>
        </w:rPr>
        <w:t xml:space="preserve"> </w:t>
      </w:r>
      <w:r>
        <w:rPr>
          <w:rFonts w:hint="eastAsia"/>
          <w:sz w:val="32"/>
        </w:rPr>
        <w:t>则</w:t>
      </w:r>
      <w:bookmarkEnd w:id="397"/>
    </w:p>
    <w:p w14:paraId="314FEB47">
      <w:pPr>
        <w:tabs>
          <w:tab w:val="left" w:pos="3120"/>
        </w:tabs>
        <w:jc w:val="center"/>
        <w:rPr>
          <w:rFonts w:eastAsia="黑体"/>
          <w:sz w:val="32"/>
        </w:rPr>
      </w:pPr>
    </w:p>
    <w:p w14:paraId="504EF997">
      <w:pPr>
        <w:tabs>
          <w:tab w:val="left" w:pos="3120"/>
        </w:tabs>
        <w:spacing w:line="360" w:lineRule="auto"/>
      </w:pPr>
      <w:r>
        <w:rPr>
          <w:rFonts w:eastAsia="黑体"/>
          <w:sz w:val="28"/>
          <w:szCs w:val="28"/>
        </w:rPr>
        <w:t xml:space="preserve">201.02  </w:t>
      </w:r>
      <w:r>
        <w:rPr>
          <w:rFonts w:hint="eastAsia" w:eastAsia="黑体"/>
          <w:sz w:val="28"/>
          <w:szCs w:val="28"/>
        </w:rPr>
        <w:t>材料</w:t>
      </w:r>
    </w:p>
    <w:p w14:paraId="6FE5ADAF">
      <w:pPr>
        <w:tabs>
          <w:tab w:val="left" w:pos="3120"/>
        </w:tabs>
        <w:spacing w:line="360" w:lineRule="auto"/>
        <w:ind w:firstLine="397"/>
      </w:pPr>
      <w:r>
        <w:rPr>
          <w:rFonts w:hint="eastAsia"/>
        </w:rPr>
        <w:t>第</w:t>
      </w:r>
      <w:r>
        <w:t>1</w:t>
      </w:r>
      <w:r>
        <w:rPr>
          <w:rFonts w:hint="eastAsia"/>
        </w:rPr>
        <w:t>条补充第（</w:t>
      </w:r>
      <w:r>
        <w:t>1</w:t>
      </w:r>
      <w:r>
        <w:rPr>
          <w:rFonts w:hint="eastAsia"/>
        </w:rPr>
        <w:t>）、（</w:t>
      </w:r>
      <w:r>
        <w:t>2</w:t>
      </w:r>
      <w:r>
        <w:rPr>
          <w:rFonts w:hint="eastAsia"/>
        </w:rPr>
        <w:t>）、（</w:t>
      </w:r>
      <w:r>
        <w:t>3</w:t>
      </w:r>
      <w:r>
        <w:rPr>
          <w:rFonts w:hint="eastAsia"/>
        </w:rPr>
        <w:t>）、（</w:t>
      </w:r>
      <w:r>
        <w:t>4</w:t>
      </w:r>
      <w:r>
        <w:rPr>
          <w:rFonts w:hint="eastAsia"/>
        </w:rPr>
        <w:t>）、（</w:t>
      </w:r>
      <w:r>
        <w:t>5</w:t>
      </w:r>
      <w:r>
        <w:rPr>
          <w:rFonts w:hint="eastAsia"/>
        </w:rPr>
        <w:t>）、（</w:t>
      </w:r>
      <w:r>
        <w:t>6</w:t>
      </w:r>
      <w:r>
        <w:rPr>
          <w:rFonts w:hint="eastAsia"/>
        </w:rPr>
        <w:t>）、（</w:t>
      </w:r>
      <w:r>
        <w:t>7</w:t>
      </w:r>
      <w:r>
        <w:rPr>
          <w:rFonts w:hint="eastAsia"/>
        </w:rPr>
        <w:t>）、（</w:t>
      </w:r>
      <w:r>
        <w:t>8</w:t>
      </w:r>
      <w:r>
        <w:rPr>
          <w:rFonts w:hint="eastAsia"/>
        </w:rPr>
        <w:t>）、（</w:t>
      </w:r>
      <w:r>
        <w:t>9</w:t>
      </w:r>
      <w:r>
        <w:rPr>
          <w:rFonts w:hint="eastAsia"/>
        </w:rPr>
        <w:t>）款：</w:t>
      </w:r>
    </w:p>
    <w:p w14:paraId="4F92D7DA">
      <w:pPr>
        <w:tabs>
          <w:tab w:val="left" w:pos="3120"/>
        </w:tabs>
        <w:spacing w:line="360" w:lineRule="auto"/>
        <w:ind w:firstLine="397"/>
      </w:pPr>
      <w:r>
        <w:rPr>
          <w:rFonts w:hint="eastAsia"/>
        </w:rPr>
        <w:t>（</w:t>
      </w:r>
      <w:r>
        <w:t>1</w:t>
      </w:r>
      <w:r>
        <w:rPr>
          <w:rFonts w:hint="eastAsia"/>
        </w:rPr>
        <w:t>）土石方</w:t>
      </w:r>
    </w:p>
    <w:p w14:paraId="2E221651">
      <w:pPr>
        <w:tabs>
          <w:tab w:val="left" w:pos="3120"/>
        </w:tabs>
        <w:spacing w:line="360" w:lineRule="auto"/>
        <w:ind w:firstLine="397"/>
      </w:pPr>
      <w:r>
        <w:rPr>
          <w:rFonts w:hint="eastAsia"/>
        </w:rPr>
        <w:t>在公路路基范围以内，除结构物基础开挖以外的所有土石方开挖作业定义为挖土石方。</w:t>
      </w:r>
    </w:p>
    <w:p w14:paraId="29E1181D">
      <w:pPr>
        <w:tabs>
          <w:tab w:val="left" w:pos="3120"/>
        </w:tabs>
        <w:spacing w:line="360" w:lineRule="auto"/>
        <w:ind w:firstLine="397"/>
      </w:pPr>
      <w:r>
        <w:rPr>
          <w:rFonts w:hint="eastAsia"/>
        </w:rPr>
        <w:t>（</w:t>
      </w:r>
      <w:r>
        <w:t>2</w:t>
      </w:r>
      <w:r>
        <w:rPr>
          <w:rFonts w:hint="eastAsia"/>
        </w:rPr>
        <w:t>）弃</w:t>
      </w:r>
      <w:r>
        <w:t xml:space="preserve"> </w:t>
      </w:r>
      <w:r>
        <w:rPr>
          <w:rFonts w:hint="eastAsia"/>
        </w:rPr>
        <w:t>方</w:t>
      </w:r>
    </w:p>
    <w:p w14:paraId="06E61391">
      <w:pPr>
        <w:tabs>
          <w:tab w:val="left" w:pos="3120"/>
        </w:tabs>
        <w:spacing w:line="360" w:lineRule="auto"/>
        <w:ind w:firstLine="397"/>
      </w:pPr>
      <w:r>
        <w:rPr>
          <w:rFonts w:hint="eastAsia"/>
        </w:rPr>
        <w:t>非适用材料（包括场地清理的淤泥、腐植土、高液限土、生活垃圾和建筑垃圾）或保证路基及其它工程利用填筑之后剩余的并经监理人批准可弃的材料，且必须清运到公路用地以外的挖方为弃方。</w:t>
      </w:r>
    </w:p>
    <w:p w14:paraId="65A2B6D9">
      <w:pPr>
        <w:tabs>
          <w:tab w:val="left" w:pos="3120"/>
        </w:tabs>
        <w:spacing w:line="360" w:lineRule="auto"/>
        <w:ind w:firstLine="397"/>
      </w:pPr>
      <w:r>
        <w:rPr>
          <w:rFonts w:hint="eastAsia"/>
        </w:rPr>
        <w:t>（</w:t>
      </w:r>
      <w:r>
        <w:t>3</w:t>
      </w:r>
      <w:r>
        <w:rPr>
          <w:rFonts w:hint="eastAsia"/>
        </w:rPr>
        <w:t>）利用方</w:t>
      </w:r>
    </w:p>
    <w:p w14:paraId="3440F5E4">
      <w:pPr>
        <w:tabs>
          <w:tab w:val="left" w:pos="3120"/>
        </w:tabs>
        <w:spacing w:line="360" w:lineRule="auto"/>
        <w:ind w:firstLine="397"/>
      </w:pPr>
      <w:r>
        <w:rPr>
          <w:rFonts w:hint="eastAsia"/>
        </w:rPr>
        <w:t>根据设计要求或监理人指示，路基挖方中的适用材料，用来填筑路基或其它填筑工程的为利用方。</w:t>
      </w:r>
    </w:p>
    <w:p w14:paraId="3A67FB27">
      <w:pPr>
        <w:tabs>
          <w:tab w:val="left" w:pos="3120"/>
        </w:tabs>
        <w:spacing w:line="360" w:lineRule="auto"/>
        <w:ind w:firstLine="397"/>
      </w:pPr>
      <w:r>
        <w:rPr>
          <w:rFonts w:hint="eastAsia"/>
        </w:rPr>
        <w:t>（</w:t>
      </w:r>
      <w:r>
        <w:t>4</w:t>
      </w:r>
      <w:r>
        <w:rPr>
          <w:rFonts w:hint="eastAsia"/>
        </w:rPr>
        <w:t>）借</w:t>
      </w:r>
      <w:r>
        <w:t xml:space="preserve"> </w:t>
      </w:r>
      <w:r>
        <w:rPr>
          <w:rFonts w:hint="eastAsia"/>
        </w:rPr>
        <w:t>方</w:t>
      </w:r>
    </w:p>
    <w:p w14:paraId="5E1AB5FC">
      <w:pPr>
        <w:tabs>
          <w:tab w:val="left" w:pos="3120"/>
        </w:tabs>
        <w:spacing w:line="360" w:lineRule="auto"/>
        <w:ind w:firstLine="397"/>
      </w:pPr>
      <w:r>
        <w:rPr>
          <w:rFonts w:hint="eastAsia"/>
        </w:rPr>
        <w:t>根据设计要求或监理人的批准，从公路用地范围外的借土场取得的适用材料，用来填筑路基或其它填筑工程的为借方。</w:t>
      </w:r>
    </w:p>
    <w:p w14:paraId="581CDA84">
      <w:pPr>
        <w:tabs>
          <w:tab w:val="left" w:pos="3120"/>
        </w:tabs>
        <w:spacing w:line="360" w:lineRule="auto"/>
        <w:ind w:firstLine="397"/>
      </w:pPr>
      <w:r>
        <w:rPr>
          <w:rFonts w:hint="eastAsia"/>
        </w:rPr>
        <w:t>（</w:t>
      </w:r>
      <w:r>
        <w:t>5</w:t>
      </w:r>
      <w:r>
        <w:rPr>
          <w:rFonts w:hint="eastAsia"/>
        </w:rPr>
        <w:t>）土石混合料</w:t>
      </w:r>
    </w:p>
    <w:p w14:paraId="6244A2C3">
      <w:pPr>
        <w:tabs>
          <w:tab w:val="left" w:pos="3120"/>
        </w:tabs>
        <w:spacing w:line="360" w:lineRule="auto"/>
        <w:ind w:firstLine="397"/>
      </w:pPr>
      <w:r>
        <w:rPr>
          <w:rFonts w:hint="eastAsia"/>
        </w:rPr>
        <w:t>用于填方路基，是经开采（或利用）的，粒径大于</w:t>
      </w:r>
      <w:r>
        <w:t>37.5mm</w:t>
      </w:r>
      <w:r>
        <w:rPr>
          <w:rFonts w:hint="eastAsia"/>
        </w:rPr>
        <w:t>的石块含量大于</w:t>
      </w:r>
      <w:r>
        <w:t>30</w:t>
      </w:r>
      <w:r>
        <w:rPr>
          <w:rFonts w:hint="eastAsia"/>
        </w:rPr>
        <w:t>％的土石混合料；石块的最大粒径要求：路基顶面以下</w:t>
      </w:r>
      <w:r>
        <w:t>30cm</w:t>
      </w:r>
      <w:r>
        <w:rPr>
          <w:rFonts w:hint="eastAsia"/>
        </w:rPr>
        <w:t>范围内，最大粒径不大于</w:t>
      </w:r>
      <w:r>
        <w:t>50mm</w:t>
      </w:r>
      <w:r>
        <w:rPr>
          <w:rFonts w:hint="eastAsia"/>
        </w:rPr>
        <w:t>；</w:t>
      </w:r>
      <w:r>
        <w:t>30~150cm</w:t>
      </w:r>
      <w:r>
        <w:rPr>
          <w:rFonts w:hint="eastAsia"/>
        </w:rPr>
        <w:t>范围内，不大于</w:t>
      </w:r>
      <w:r>
        <w:t>150mm</w:t>
      </w:r>
      <w:r>
        <w:rPr>
          <w:rFonts w:hint="eastAsia"/>
        </w:rPr>
        <w:t>；</w:t>
      </w:r>
      <w:r>
        <w:t>150cm</w:t>
      </w:r>
      <w:r>
        <w:rPr>
          <w:rFonts w:hint="eastAsia"/>
        </w:rPr>
        <w:t>以下，不大于层厚的</w:t>
      </w:r>
      <w:r>
        <w:t>2/3</w:t>
      </w:r>
      <w:r>
        <w:rPr>
          <w:rFonts w:hint="eastAsia"/>
        </w:rPr>
        <w:t>。</w:t>
      </w:r>
    </w:p>
    <w:p w14:paraId="10DCDFB6">
      <w:pPr>
        <w:tabs>
          <w:tab w:val="left" w:pos="3120"/>
        </w:tabs>
        <w:spacing w:line="360" w:lineRule="auto"/>
        <w:ind w:firstLine="397"/>
        <w:rPr>
          <w:spacing w:val="-4"/>
        </w:rPr>
      </w:pPr>
      <w:r>
        <w:rPr>
          <w:rFonts w:hint="eastAsia"/>
          <w:spacing w:val="-4"/>
        </w:rPr>
        <w:t>（</w:t>
      </w:r>
      <w:r>
        <w:rPr>
          <w:spacing w:val="-4"/>
        </w:rPr>
        <w:t>6</w:t>
      </w:r>
      <w:r>
        <w:rPr>
          <w:rFonts w:hint="eastAsia"/>
          <w:spacing w:val="-4"/>
        </w:rPr>
        <w:t>）透水性材料，主要为级配良好的砂砾、碎石和清宕渣等，其主要物性指标符合表</w:t>
      </w:r>
      <w:r>
        <w:rPr>
          <w:spacing w:val="-4"/>
        </w:rPr>
        <w:t>201-3</w:t>
      </w:r>
      <w:r>
        <w:rPr>
          <w:rFonts w:hint="eastAsia"/>
          <w:spacing w:val="-4"/>
        </w:rPr>
        <w:t>的要求。</w:t>
      </w:r>
    </w:p>
    <w:p w14:paraId="3E4A7993">
      <w:pPr>
        <w:pStyle w:val="68"/>
        <w:spacing w:before="48" w:beforeLines="20"/>
        <w:jc w:val="center"/>
        <w:rPr>
          <w:rFonts w:ascii="Times New Roman" w:hAnsi="Times New Roman"/>
          <w:sz w:val="21"/>
          <w:szCs w:val="24"/>
        </w:rPr>
      </w:pPr>
      <w:r>
        <w:rPr>
          <w:rFonts w:hint="eastAsia" w:ascii="Times New Roman" w:hAnsi="Times New Roman"/>
          <w:sz w:val="21"/>
          <w:szCs w:val="24"/>
        </w:rPr>
        <w:t>透水性材料物理力学指标表</w:t>
      </w:r>
    </w:p>
    <w:p w14:paraId="27F3576A">
      <w:pPr>
        <w:tabs>
          <w:tab w:val="left" w:pos="1495"/>
        </w:tabs>
        <w:spacing w:line="240" w:lineRule="exact"/>
        <w:ind w:firstLine="580" w:firstLineChars="242"/>
        <w:jc w:val="center"/>
      </w:pPr>
      <w:r>
        <w:rPr>
          <w:sz w:val="24"/>
        </w:rPr>
        <w:t xml:space="preserve">                                                         </w:t>
      </w:r>
      <w:r>
        <w:rPr>
          <w:szCs w:val="21"/>
        </w:rPr>
        <w:t xml:space="preserve"> </w:t>
      </w:r>
      <w:r>
        <w:rPr>
          <w:rFonts w:hint="eastAsia"/>
        </w:rPr>
        <w:t>表</w:t>
      </w:r>
      <w:r>
        <w:t>201-3</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178"/>
        <w:gridCol w:w="2217"/>
        <w:gridCol w:w="2360"/>
      </w:tblGrid>
      <w:tr w14:paraId="25B7B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4" w:hRule="atLeast"/>
          <w:jc w:val="center"/>
        </w:trPr>
        <w:tc>
          <w:tcPr>
            <w:tcW w:w="1331" w:type="dxa"/>
            <w:vAlign w:val="center"/>
          </w:tcPr>
          <w:p w14:paraId="235B9EE6">
            <w:pPr>
              <w:spacing w:line="400" w:lineRule="atLeast"/>
              <w:jc w:val="center"/>
            </w:pPr>
            <w:r>
              <w:rPr>
                <w:rFonts w:hint="eastAsia"/>
              </w:rPr>
              <w:t>项</w:t>
            </w:r>
            <w:r>
              <w:t xml:space="preserve">   </w:t>
            </w:r>
            <w:r>
              <w:rPr>
                <w:rFonts w:hint="eastAsia"/>
              </w:rPr>
              <w:t>次</w:t>
            </w:r>
          </w:p>
        </w:tc>
        <w:tc>
          <w:tcPr>
            <w:tcW w:w="3257" w:type="dxa"/>
            <w:vAlign w:val="center"/>
          </w:tcPr>
          <w:p w14:paraId="35F7061C">
            <w:pPr>
              <w:spacing w:line="400" w:lineRule="atLeast"/>
              <w:ind w:firstLine="420"/>
              <w:jc w:val="center"/>
            </w:pPr>
            <w:r>
              <w:rPr>
                <w:rFonts w:hint="eastAsia"/>
              </w:rPr>
              <w:t>项</w:t>
            </w:r>
            <w:r>
              <w:t xml:space="preserve">   </w:t>
            </w:r>
            <w:r>
              <w:rPr>
                <w:rFonts w:hint="eastAsia"/>
              </w:rPr>
              <w:t>目</w:t>
            </w:r>
          </w:p>
        </w:tc>
        <w:tc>
          <w:tcPr>
            <w:tcW w:w="2268" w:type="dxa"/>
            <w:vAlign w:val="center"/>
          </w:tcPr>
          <w:p w14:paraId="3EDA3C2F">
            <w:pPr>
              <w:spacing w:line="400" w:lineRule="atLeast"/>
              <w:jc w:val="center"/>
            </w:pPr>
            <w:r>
              <w:rPr>
                <w:rFonts w:hint="eastAsia"/>
              </w:rPr>
              <w:t>上路床</w:t>
            </w:r>
          </w:p>
        </w:tc>
        <w:tc>
          <w:tcPr>
            <w:tcW w:w="2417" w:type="dxa"/>
            <w:vAlign w:val="center"/>
          </w:tcPr>
          <w:p w14:paraId="6B1FBFDF">
            <w:pPr>
              <w:spacing w:line="400" w:lineRule="atLeast"/>
              <w:jc w:val="center"/>
            </w:pPr>
            <w:r>
              <w:rPr>
                <w:rFonts w:hint="eastAsia"/>
              </w:rPr>
              <w:t>其他部位</w:t>
            </w:r>
          </w:p>
        </w:tc>
      </w:tr>
      <w:tr w14:paraId="580F9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31" w:type="dxa"/>
            <w:vAlign w:val="center"/>
          </w:tcPr>
          <w:p w14:paraId="72F72148">
            <w:pPr>
              <w:spacing w:line="400" w:lineRule="atLeast"/>
              <w:jc w:val="center"/>
            </w:pPr>
            <w:r>
              <w:t>1</w:t>
            </w:r>
          </w:p>
        </w:tc>
        <w:tc>
          <w:tcPr>
            <w:tcW w:w="3257" w:type="dxa"/>
            <w:shd w:val="clear" w:color="auto" w:fill="auto"/>
            <w:vAlign w:val="center"/>
          </w:tcPr>
          <w:p w14:paraId="115E06D8">
            <w:pPr>
              <w:spacing w:line="400" w:lineRule="atLeast"/>
              <w:ind w:firstLine="420"/>
              <w:jc w:val="center"/>
            </w:pPr>
            <w:r>
              <w:rPr>
                <w:rFonts w:hint="eastAsia"/>
              </w:rPr>
              <w:t>液</w:t>
            </w:r>
            <w:r>
              <w:t xml:space="preserve">  </w:t>
            </w:r>
            <w:r>
              <w:rPr>
                <w:rFonts w:hint="eastAsia"/>
              </w:rPr>
              <w:t>限</w:t>
            </w:r>
          </w:p>
        </w:tc>
        <w:tc>
          <w:tcPr>
            <w:tcW w:w="2268" w:type="dxa"/>
            <w:shd w:val="clear" w:color="auto" w:fill="auto"/>
            <w:vAlign w:val="center"/>
          </w:tcPr>
          <w:p w14:paraId="138341D8">
            <w:pPr>
              <w:spacing w:line="400" w:lineRule="atLeast"/>
              <w:jc w:val="center"/>
            </w:pPr>
            <w:r>
              <w:rPr>
                <w:rFonts w:hint="eastAsia"/>
              </w:rPr>
              <w:t>＜</w:t>
            </w:r>
            <w:r>
              <w:t>28%</w:t>
            </w:r>
          </w:p>
        </w:tc>
        <w:tc>
          <w:tcPr>
            <w:tcW w:w="2417" w:type="dxa"/>
            <w:shd w:val="clear" w:color="auto" w:fill="auto"/>
            <w:vAlign w:val="center"/>
          </w:tcPr>
          <w:p w14:paraId="0A788B97">
            <w:pPr>
              <w:spacing w:line="400" w:lineRule="atLeast"/>
              <w:jc w:val="center"/>
            </w:pPr>
            <w:r>
              <w:rPr>
                <w:rFonts w:hint="eastAsia"/>
              </w:rPr>
              <w:t>＜</w:t>
            </w:r>
            <w:r>
              <w:t>42%</w:t>
            </w:r>
          </w:p>
        </w:tc>
      </w:tr>
      <w:tr w14:paraId="4A3E4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31" w:type="dxa"/>
            <w:vAlign w:val="center"/>
          </w:tcPr>
          <w:p w14:paraId="36ECEE9D">
            <w:pPr>
              <w:spacing w:line="400" w:lineRule="atLeast"/>
              <w:jc w:val="center"/>
            </w:pPr>
            <w:r>
              <w:t>2</w:t>
            </w:r>
          </w:p>
        </w:tc>
        <w:tc>
          <w:tcPr>
            <w:tcW w:w="3257" w:type="dxa"/>
            <w:shd w:val="clear" w:color="auto" w:fill="auto"/>
            <w:vAlign w:val="center"/>
          </w:tcPr>
          <w:p w14:paraId="523F3382">
            <w:pPr>
              <w:spacing w:line="400" w:lineRule="atLeast"/>
              <w:ind w:firstLine="420"/>
              <w:jc w:val="center"/>
            </w:pPr>
            <w:r>
              <w:rPr>
                <w:rFonts w:hint="eastAsia"/>
              </w:rPr>
              <w:t>塑性指数</w:t>
            </w:r>
          </w:p>
        </w:tc>
        <w:tc>
          <w:tcPr>
            <w:tcW w:w="2268" w:type="dxa"/>
            <w:shd w:val="clear" w:color="auto" w:fill="auto"/>
            <w:vAlign w:val="center"/>
          </w:tcPr>
          <w:p w14:paraId="4672F87E">
            <w:pPr>
              <w:spacing w:line="400" w:lineRule="atLeast"/>
              <w:jc w:val="center"/>
            </w:pPr>
            <w:r>
              <w:rPr>
                <w:rFonts w:hint="eastAsia"/>
              </w:rPr>
              <w:t>＜</w:t>
            </w:r>
            <w:r>
              <w:t>9%</w:t>
            </w:r>
          </w:p>
        </w:tc>
        <w:tc>
          <w:tcPr>
            <w:tcW w:w="2417" w:type="dxa"/>
            <w:shd w:val="clear" w:color="auto" w:fill="auto"/>
            <w:vAlign w:val="center"/>
          </w:tcPr>
          <w:p w14:paraId="376A61A0">
            <w:pPr>
              <w:spacing w:line="400" w:lineRule="atLeast"/>
              <w:jc w:val="center"/>
            </w:pPr>
            <w:r>
              <w:rPr>
                <w:rFonts w:hint="eastAsia"/>
              </w:rPr>
              <w:t>＜</w:t>
            </w:r>
            <w:r>
              <w:t>12%</w:t>
            </w:r>
          </w:p>
        </w:tc>
      </w:tr>
      <w:tr w14:paraId="564F3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31" w:type="dxa"/>
            <w:vAlign w:val="center"/>
          </w:tcPr>
          <w:p w14:paraId="2F289BC0">
            <w:pPr>
              <w:spacing w:line="400" w:lineRule="atLeast"/>
              <w:jc w:val="center"/>
            </w:pPr>
            <w:r>
              <w:t>3</w:t>
            </w:r>
          </w:p>
        </w:tc>
        <w:tc>
          <w:tcPr>
            <w:tcW w:w="3257" w:type="dxa"/>
            <w:shd w:val="clear" w:color="auto" w:fill="auto"/>
            <w:vAlign w:val="center"/>
          </w:tcPr>
          <w:p w14:paraId="409C66D7">
            <w:pPr>
              <w:spacing w:line="400" w:lineRule="atLeast"/>
              <w:ind w:firstLine="420"/>
              <w:jc w:val="center"/>
            </w:pPr>
            <w:r>
              <w:rPr>
                <w:rFonts w:hint="eastAsia"/>
              </w:rPr>
              <w:t>最小干容重</w:t>
            </w:r>
          </w:p>
        </w:tc>
        <w:tc>
          <w:tcPr>
            <w:tcW w:w="2268" w:type="dxa"/>
            <w:shd w:val="clear" w:color="auto" w:fill="auto"/>
            <w:vAlign w:val="center"/>
          </w:tcPr>
          <w:p w14:paraId="5AE84C3A">
            <w:pPr>
              <w:spacing w:line="400" w:lineRule="atLeast"/>
              <w:jc w:val="center"/>
            </w:pPr>
            <w:r>
              <w:rPr>
                <w:rFonts w:hint="eastAsia"/>
              </w:rPr>
              <w:t>＞</w:t>
            </w:r>
            <w:r>
              <w:t>1.9</w:t>
            </w:r>
          </w:p>
        </w:tc>
        <w:tc>
          <w:tcPr>
            <w:tcW w:w="2417" w:type="dxa"/>
            <w:shd w:val="clear" w:color="auto" w:fill="auto"/>
            <w:vAlign w:val="center"/>
          </w:tcPr>
          <w:p w14:paraId="3FC190E6">
            <w:pPr>
              <w:spacing w:line="400" w:lineRule="atLeast"/>
              <w:jc w:val="center"/>
            </w:pPr>
            <w:r>
              <w:rPr>
                <w:rFonts w:hint="eastAsia"/>
              </w:rPr>
              <w:t>＞</w:t>
            </w:r>
            <w:r>
              <w:t>1.9</w:t>
            </w:r>
          </w:p>
        </w:tc>
      </w:tr>
      <w:tr w14:paraId="2DA3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31" w:type="dxa"/>
            <w:vAlign w:val="center"/>
          </w:tcPr>
          <w:p w14:paraId="7FB7E7CF">
            <w:pPr>
              <w:spacing w:line="400" w:lineRule="atLeast"/>
              <w:jc w:val="center"/>
            </w:pPr>
            <w:r>
              <w:t>4</w:t>
            </w:r>
          </w:p>
        </w:tc>
        <w:tc>
          <w:tcPr>
            <w:tcW w:w="3257" w:type="dxa"/>
            <w:shd w:val="clear" w:color="auto" w:fill="auto"/>
            <w:vAlign w:val="center"/>
          </w:tcPr>
          <w:p w14:paraId="021F32C9">
            <w:pPr>
              <w:spacing w:line="400" w:lineRule="atLeast"/>
            </w:pPr>
            <w:r>
              <w:rPr>
                <w:rFonts w:hint="eastAsia"/>
              </w:rPr>
              <w:t>含泥量（即＞</w:t>
            </w:r>
            <w:r>
              <w:t>0.075mm</w:t>
            </w:r>
            <w:r>
              <w:rPr>
                <w:rFonts w:hint="eastAsia"/>
              </w:rPr>
              <w:t>颗粒含量）</w:t>
            </w:r>
          </w:p>
        </w:tc>
        <w:tc>
          <w:tcPr>
            <w:tcW w:w="2268" w:type="dxa"/>
            <w:shd w:val="clear" w:color="auto" w:fill="auto"/>
            <w:vAlign w:val="center"/>
          </w:tcPr>
          <w:p w14:paraId="7F865906">
            <w:pPr>
              <w:spacing w:line="400" w:lineRule="atLeast"/>
              <w:jc w:val="center"/>
            </w:pPr>
            <w:r>
              <w:rPr>
                <w:rFonts w:hint="eastAsia"/>
              </w:rPr>
              <w:t>＜</w:t>
            </w:r>
            <w:r>
              <w:t>5%</w:t>
            </w:r>
            <w:r>
              <w:rPr>
                <w:rFonts w:hint="eastAsia"/>
              </w:rPr>
              <w:t>（＞</w:t>
            </w:r>
            <w:r>
              <w:t>95%</w:t>
            </w:r>
            <w:r>
              <w:rPr>
                <w:rFonts w:hint="eastAsia"/>
              </w:rPr>
              <w:t>）</w:t>
            </w:r>
          </w:p>
        </w:tc>
        <w:tc>
          <w:tcPr>
            <w:tcW w:w="2417" w:type="dxa"/>
            <w:shd w:val="clear" w:color="auto" w:fill="auto"/>
            <w:vAlign w:val="center"/>
          </w:tcPr>
          <w:p w14:paraId="39ACE127">
            <w:pPr>
              <w:spacing w:line="400" w:lineRule="atLeast"/>
              <w:jc w:val="center"/>
            </w:pPr>
            <w:r>
              <w:rPr>
                <w:rFonts w:hint="eastAsia"/>
              </w:rPr>
              <w:t>＜</w:t>
            </w:r>
            <w:r>
              <w:t>10%</w:t>
            </w:r>
            <w:r>
              <w:rPr>
                <w:rFonts w:hint="eastAsia"/>
              </w:rPr>
              <w:t>（＞</w:t>
            </w:r>
            <w:r>
              <w:t>90%</w:t>
            </w:r>
            <w:r>
              <w:rPr>
                <w:rFonts w:hint="eastAsia"/>
              </w:rPr>
              <w:t>）</w:t>
            </w:r>
          </w:p>
        </w:tc>
      </w:tr>
      <w:tr w14:paraId="7085B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331" w:type="dxa"/>
            <w:vAlign w:val="center"/>
          </w:tcPr>
          <w:p w14:paraId="01CD272D">
            <w:pPr>
              <w:spacing w:line="400" w:lineRule="atLeast"/>
              <w:jc w:val="center"/>
            </w:pPr>
            <w:r>
              <w:t>5</w:t>
            </w:r>
          </w:p>
        </w:tc>
        <w:tc>
          <w:tcPr>
            <w:tcW w:w="3257" w:type="dxa"/>
            <w:shd w:val="clear" w:color="auto" w:fill="auto"/>
            <w:vAlign w:val="center"/>
          </w:tcPr>
          <w:p w14:paraId="5C14D98C">
            <w:pPr>
              <w:spacing w:line="400" w:lineRule="atLeast"/>
              <w:ind w:firstLine="420"/>
              <w:jc w:val="center"/>
            </w:pPr>
            <w:r>
              <w:rPr>
                <w:rFonts w:hint="eastAsia"/>
              </w:rPr>
              <w:t>最大粒径（</w:t>
            </w:r>
            <w:r>
              <w:t>mm</w:t>
            </w:r>
            <w:r>
              <w:rPr>
                <w:rFonts w:hint="eastAsia"/>
              </w:rPr>
              <w:t>）</w:t>
            </w:r>
          </w:p>
        </w:tc>
        <w:tc>
          <w:tcPr>
            <w:tcW w:w="2268" w:type="dxa"/>
            <w:shd w:val="clear" w:color="auto" w:fill="auto"/>
            <w:vAlign w:val="center"/>
          </w:tcPr>
          <w:p w14:paraId="2EDECB60">
            <w:pPr>
              <w:spacing w:line="400" w:lineRule="atLeast"/>
              <w:jc w:val="center"/>
            </w:pPr>
            <w:r>
              <w:rPr>
                <w:rFonts w:hint="eastAsia" w:ascii="宋体" w:hAnsi="宋体" w:cs="宋体"/>
              </w:rPr>
              <w:t>≤</w:t>
            </w:r>
            <w:r>
              <w:t>50</w:t>
            </w:r>
          </w:p>
        </w:tc>
        <w:tc>
          <w:tcPr>
            <w:tcW w:w="2417" w:type="dxa"/>
            <w:shd w:val="clear" w:color="auto" w:fill="auto"/>
            <w:vAlign w:val="center"/>
          </w:tcPr>
          <w:p w14:paraId="5225302C">
            <w:pPr>
              <w:spacing w:line="400" w:lineRule="atLeast"/>
              <w:jc w:val="center"/>
            </w:pPr>
            <w:r>
              <w:rPr>
                <w:rFonts w:hint="eastAsia" w:ascii="宋体" w:hAnsi="宋体" w:cs="宋体"/>
              </w:rPr>
              <w:t>≤</w:t>
            </w:r>
            <w:r>
              <w:t>100</w:t>
            </w:r>
          </w:p>
        </w:tc>
      </w:tr>
    </w:tbl>
    <w:p w14:paraId="27297876">
      <w:pPr>
        <w:tabs>
          <w:tab w:val="left" w:pos="3120"/>
        </w:tabs>
        <w:spacing w:line="360" w:lineRule="auto"/>
        <w:ind w:firstLine="397"/>
      </w:pPr>
      <w:r>
        <w:rPr>
          <w:rFonts w:hint="eastAsia"/>
        </w:rPr>
        <w:t>（</w:t>
      </w:r>
      <w:r>
        <w:t>7</w:t>
      </w:r>
      <w:r>
        <w:rPr>
          <w:rFonts w:hint="eastAsia"/>
        </w:rPr>
        <w:t>）素</w:t>
      </w:r>
      <w:r>
        <w:t xml:space="preserve"> </w:t>
      </w:r>
      <w:r>
        <w:rPr>
          <w:rFonts w:hint="eastAsia"/>
        </w:rPr>
        <w:t>土</w:t>
      </w:r>
    </w:p>
    <w:p w14:paraId="684CF441">
      <w:pPr>
        <w:tabs>
          <w:tab w:val="left" w:pos="3120"/>
        </w:tabs>
        <w:spacing w:line="360" w:lineRule="auto"/>
        <w:ind w:firstLine="397"/>
      </w:pPr>
      <w:r>
        <w:rPr>
          <w:rFonts w:hint="eastAsia"/>
        </w:rPr>
        <w:t>素土指液限小于</w:t>
      </w:r>
      <w:r>
        <w:t>50%</w:t>
      </w:r>
      <w:r>
        <w:rPr>
          <w:rFonts w:hint="eastAsia"/>
        </w:rPr>
        <w:t>、塑性指数小于</w:t>
      </w:r>
      <w:r>
        <w:t>26</w:t>
      </w:r>
      <w:r>
        <w:rPr>
          <w:rFonts w:hint="eastAsia"/>
        </w:rPr>
        <w:t>的天然土，要求有机质含量小于</w:t>
      </w:r>
      <w:r>
        <w:t>5%</w:t>
      </w:r>
      <w:r>
        <w:rPr>
          <w:rFonts w:hint="eastAsia"/>
        </w:rPr>
        <w:t>，粒径大于</w:t>
      </w:r>
      <w:r>
        <w:t>10mm</w:t>
      </w:r>
      <w:r>
        <w:rPr>
          <w:rFonts w:hint="eastAsia"/>
        </w:rPr>
        <w:t>的颗粒含量不超过全重的</w:t>
      </w:r>
      <w:r>
        <w:t>10%</w:t>
      </w:r>
      <w:r>
        <w:rPr>
          <w:rFonts w:hint="eastAsia"/>
        </w:rPr>
        <w:t>。不得采用地表耕植土、淤泥及淤泥质土、杂填土直接作为素土使用。</w:t>
      </w:r>
    </w:p>
    <w:p w14:paraId="7DB75991">
      <w:pPr>
        <w:tabs>
          <w:tab w:val="left" w:pos="3120"/>
        </w:tabs>
        <w:spacing w:line="360" w:lineRule="auto"/>
        <w:ind w:firstLine="397"/>
      </w:pPr>
      <w:r>
        <w:rPr>
          <w:rFonts w:hint="eastAsia"/>
        </w:rPr>
        <w:t>（</w:t>
      </w:r>
      <w:r>
        <w:t>8</w:t>
      </w:r>
      <w:r>
        <w:rPr>
          <w:rFonts w:hint="eastAsia"/>
        </w:rPr>
        <w:t>）清宕渣</w:t>
      </w:r>
    </w:p>
    <w:p w14:paraId="3DD1DBA1">
      <w:pPr>
        <w:tabs>
          <w:tab w:val="left" w:pos="3120"/>
        </w:tabs>
        <w:spacing w:line="360" w:lineRule="auto"/>
        <w:ind w:firstLine="397"/>
      </w:pPr>
      <w:r>
        <w:rPr>
          <w:rFonts w:hint="eastAsia"/>
        </w:rPr>
        <w:t>主要用于低填浅挖及养殖塘段换填处理，均采用渗水性良好的清宕渣。用于换填及路基填筑的清宕渣，粒径不大于</w:t>
      </w:r>
      <w:r>
        <w:t xml:space="preserve">10cm, </w:t>
      </w:r>
      <w:r>
        <w:rPr>
          <w:rFonts w:hint="eastAsia"/>
        </w:rPr>
        <w:t>含泥量应不大于</w:t>
      </w:r>
      <w:r>
        <w:t xml:space="preserve">8%, </w:t>
      </w:r>
      <w:r>
        <w:rPr>
          <w:rFonts w:hint="eastAsia"/>
        </w:rPr>
        <w:t>石料抗压强度不小于</w:t>
      </w:r>
      <w:r>
        <w:t>30Mpa</w:t>
      </w:r>
      <w:r>
        <w:rPr>
          <w:rFonts w:hint="eastAsia"/>
        </w:rPr>
        <w:t>，其余技术指标符合图纸要求。</w:t>
      </w:r>
    </w:p>
    <w:p w14:paraId="0114608E">
      <w:pPr>
        <w:tabs>
          <w:tab w:val="left" w:pos="3120"/>
        </w:tabs>
        <w:spacing w:line="360" w:lineRule="auto"/>
        <w:ind w:firstLine="397"/>
      </w:pPr>
      <w:r>
        <w:rPr>
          <w:rFonts w:hint="eastAsia"/>
        </w:rPr>
        <w:t>（</w:t>
      </w:r>
      <w:r>
        <w:t>9</w:t>
      </w:r>
      <w:r>
        <w:rPr>
          <w:rFonts w:hint="eastAsia"/>
        </w:rPr>
        <w:t>）级配碎石</w:t>
      </w:r>
    </w:p>
    <w:p w14:paraId="01E2ED50">
      <w:pPr>
        <w:tabs>
          <w:tab w:val="left" w:pos="3120"/>
        </w:tabs>
        <w:spacing w:line="360" w:lineRule="auto"/>
        <w:ind w:firstLine="397"/>
      </w:pPr>
      <w:r>
        <w:rPr>
          <w:rFonts w:hint="eastAsia"/>
        </w:rPr>
        <w:t>主要用于桥梁台背软土路基填筑、箱涵基底换填材料，最大粒径</w:t>
      </w:r>
      <w:r>
        <w:t>53mm</w:t>
      </w:r>
      <w:r>
        <w:rPr>
          <w:rFonts w:hint="eastAsia"/>
        </w:rPr>
        <w:t>，级配应符合图纸要求。</w:t>
      </w:r>
    </w:p>
    <w:p w14:paraId="687B5D27">
      <w:pPr>
        <w:tabs>
          <w:tab w:val="left" w:pos="3120"/>
        </w:tabs>
        <w:spacing w:line="360" w:lineRule="auto"/>
      </w:pPr>
      <w:r>
        <w:rPr>
          <w:rFonts w:eastAsia="黑体"/>
          <w:sz w:val="28"/>
          <w:szCs w:val="28"/>
        </w:rPr>
        <w:t xml:space="preserve">201.03  </w:t>
      </w:r>
      <w:r>
        <w:rPr>
          <w:rFonts w:hint="eastAsia" w:eastAsia="黑体"/>
          <w:sz w:val="28"/>
          <w:szCs w:val="28"/>
        </w:rPr>
        <w:t>一般要求</w:t>
      </w:r>
    </w:p>
    <w:p w14:paraId="5A0BA73C">
      <w:pPr>
        <w:tabs>
          <w:tab w:val="left" w:pos="3120"/>
        </w:tabs>
        <w:spacing w:line="360" w:lineRule="auto"/>
        <w:ind w:firstLine="397"/>
      </w:pPr>
      <w:r>
        <w:rPr>
          <w:rFonts w:hint="eastAsia"/>
        </w:rPr>
        <w:t>补充第</w:t>
      </w:r>
      <w:r>
        <w:t>4</w:t>
      </w:r>
      <w:r>
        <w:rPr>
          <w:rFonts w:hint="eastAsia"/>
        </w:rPr>
        <w:t>条：</w:t>
      </w:r>
    </w:p>
    <w:p w14:paraId="716BAEE0">
      <w:pPr>
        <w:tabs>
          <w:tab w:val="left" w:pos="3120"/>
        </w:tabs>
        <w:spacing w:line="360" w:lineRule="auto"/>
        <w:ind w:firstLine="397"/>
      </w:pPr>
      <w:r>
        <w:t xml:space="preserve">4. </w:t>
      </w:r>
      <w:r>
        <w:rPr>
          <w:rFonts w:hint="eastAsia"/>
        </w:rPr>
        <w:t>小型预制构件</w:t>
      </w:r>
    </w:p>
    <w:p w14:paraId="16ED45BB">
      <w:pPr>
        <w:tabs>
          <w:tab w:val="left" w:pos="3120"/>
        </w:tabs>
        <w:spacing w:line="360" w:lineRule="auto"/>
        <w:ind w:firstLine="397"/>
      </w:pPr>
      <w:r>
        <w:rPr>
          <w:rFonts w:hint="eastAsia"/>
        </w:rPr>
        <w:t>小型预制构件施工应符合《公路工程小型预制构件施工技术规范》要求。</w:t>
      </w:r>
    </w:p>
    <w:p w14:paraId="6FA95C1C">
      <w:pPr>
        <w:tabs>
          <w:tab w:val="left" w:pos="3120"/>
        </w:tabs>
        <w:spacing w:line="360" w:lineRule="auto"/>
        <w:ind w:firstLine="397"/>
      </w:pPr>
    </w:p>
    <w:p w14:paraId="47A5E4A0">
      <w:pPr>
        <w:pStyle w:val="7"/>
        <w:rPr>
          <w:sz w:val="32"/>
        </w:rPr>
      </w:pPr>
      <w:bookmarkStart w:id="398" w:name="_Toc154675164"/>
      <w:r>
        <w:rPr>
          <w:rFonts w:hint="eastAsia"/>
          <w:sz w:val="32"/>
        </w:rPr>
        <w:t>第</w:t>
      </w:r>
      <w:r>
        <w:rPr>
          <w:sz w:val="32"/>
        </w:rPr>
        <w:t>203</w:t>
      </w:r>
      <w:r>
        <w:rPr>
          <w:rFonts w:hint="eastAsia"/>
          <w:sz w:val="32"/>
        </w:rPr>
        <w:t>节</w:t>
      </w:r>
      <w:r>
        <w:rPr>
          <w:sz w:val="32"/>
        </w:rPr>
        <w:t xml:space="preserve">  </w:t>
      </w:r>
      <w:r>
        <w:rPr>
          <w:rFonts w:hint="eastAsia"/>
          <w:sz w:val="32"/>
        </w:rPr>
        <w:t>挖方路基</w:t>
      </w:r>
      <w:bookmarkEnd w:id="398"/>
    </w:p>
    <w:p w14:paraId="686B67EE">
      <w:pPr>
        <w:tabs>
          <w:tab w:val="left" w:pos="3120"/>
        </w:tabs>
        <w:spacing w:line="360" w:lineRule="auto"/>
      </w:pPr>
      <w:r>
        <w:rPr>
          <w:rFonts w:eastAsia="黑体"/>
          <w:sz w:val="28"/>
          <w:szCs w:val="28"/>
        </w:rPr>
        <w:t xml:space="preserve">203.03  </w:t>
      </w:r>
      <w:r>
        <w:rPr>
          <w:rFonts w:hint="eastAsia" w:eastAsia="黑体"/>
          <w:sz w:val="28"/>
          <w:szCs w:val="28"/>
        </w:rPr>
        <w:t>施工要求</w:t>
      </w:r>
    </w:p>
    <w:p w14:paraId="126EAE75">
      <w:pPr>
        <w:tabs>
          <w:tab w:val="left" w:pos="3120"/>
        </w:tabs>
        <w:spacing w:line="360" w:lineRule="auto"/>
        <w:ind w:firstLine="397"/>
      </w:pPr>
      <w:r>
        <w:rPr>
          <w:rFonts w:hint="eastAsia"/>
        </w:rPr>
        <w:t>补充第</w:t>
      </w:r>
      <w:r>
        <w:t>7</w:t>
      </w:r>
      <w:r>
        <w:rPr>
          <w:rFonts w:hint="eastAsia"/>
        </w:rPr>
        <w:t>条：</w:t>
      </w:r>
    </w:p>
    <w:p w14:paraId="3C5263C7">
      <w:pPr>
        <w:tabs>
          <w:tab w:val="left" w:pos="3120"/>
        </w:tabs>
        <w:spacing w:line="360" w:lineRule="auto"/>
        <w:ind w:firstLine="397"/>
      </w:pPr>
      <w:r>
        <w:t>7</w:t>
      </w:r>
      <w:r>
        <w:rPr>
          <w:rFonts w:hint="eastAsia"/>
        </w:rPr>
        <w:t>．深挖路堑（含高边坡）的施工</w:t>
      </w:r>
    </w:p>
    <w:p w14:paraId="63D72D7F">
      <w:pPr>
        <w:tabs>
          <w:tab w:val="left" w:pos="3120"/>
        </w:tabs>
        <w:spacing w:line="360" w:lineRule="auto"/>
        <w:ind w:firstLine="396"/>
      </w:pPr>
      <w:r>
        <w:rPr>
          <w:rFonts w:hint="eastAsia"/>
        </w:rPr>
        <w:t>（</w:t>
      </w:r>
      <w:r>
        <w:t>1</w:t>
      </w:r>
      <w:r>
        <w:rPr>
          <w:rFonts w:hint="eastAsia"/>
        </w:rPr>
        <w:t>）深挖路堑（含高边坡）施工是路基工程中制约工期和存在边坡不稳定隐患的关键分项工程</w:t>
      </w:r>
      <w:r>
        <w:t xml:space="preserve">, </w:t>
      </w:r>
      <w:r>
        <w:rPr>
          <w:rFonts w:hint="eastAsia"/>
        </w:rPr>
        <w:t>承包人必须高度重视。</w:t>
      </w:r>
    </w:p>
    <w:p w14:paraId="55AEA9D5">
      <w:pPr>
        <w:tabs>
          <w:tab w:val="left" w:pos="3120"/>
        </w:tabs>
        <w:spacing w:line="360" w:lineRule="auto"/>
        <w:ind w:firstLine="396"/>
      </w:pPr>
      <w:r>
        <w:rPr>
          <w:rFonts w:hint="eastAsia"/>
        </w:rPr>
        <w:t>（</w:t>
      </w:r>
      <w:r>
        <w:t>2</w:t>
      </w:r>
      <w:r>
        <w:rPr>
          <w:rFonts w:hint="eastAsia"/>
        </w:rPr>
        <w:t>）承包人在深挖路堑（含高边坡）开工前至少</w:t>
      </w:r>
      <w:r>
        <w:t xml:space="preserve">28d, </w:t>
      </w:r>
      <w:r>
        <w:rPr>
          <w:rFonts w:hint="eastAsia"/>
        </w:rPr>
        <w:t>应根据路堑深度、长度、边坡高度、地形、地质、开挖断面、土方调配及弃方等情况，制订详细的施工作业计划报监理人批准，否则不得开挖。</w:t>
      </w:r>
    </w:p>
    <w:p w14:paraId="1A25009D">
      <w:pPr>
        <w:tabs>
          <w:tab w:val="left" w:pos="3120"/>
        </w:tabs>
        <w:spacing w:line="360" w:lineRule="auto"/>
        <w:ind w:firstLine="396"/>
      </w:pPr>
      <w:r>
        <w:rPr>
          <w:rFonts w:hint="eastAsia"/>
        </w:rPr>
        <w:t>（</w:t>
      </w:r>
      <w:r>
        <w:t>3</w:t>
      </w:r>
      <w:r>
        <w:rPr>
          <w:rFonts w:hint="eastAsia"/>
        </w:rPr>
        <w:t>）开挖前</w:t>
      </w:r>
      <w:r>
        <w:t xml:space="preserve">, </w:t>
      </w:r>
      <w:r>
        <w:rPr>
          <w:rFonts w:hint="eastAsia"/>
        </w:rPr>
        <w:t>承包人应作好排水系统</w:t>
      </w:r>
      <w:r>
        <w:t xml:space="preserve">, </w:t>
      </w:r>
      <w:r>
        <w:rPr>
          <w:rFonts w:hint="eastAsia"/>
        </w:rPr>
        <w:t>包括坡顶的截水沟及路堑两端的排水设施</w:t>
      </w:r>
      <w:r>
        <w:t xml:space="preserve">, </w:t>
      </w:r>
      <w:r>
        <w:rPr>
          <w:rFonts w:hint="eastAsia"/>
        </w:rPr>
        <w:t>防止施工过程中地表水对边坡的冲刷。</w:t>
      </w:r>
    </w:p>
    <w:p w14:paraId="4FA54596">
      <w:pPr>
        <w:tabs>
          <w:tab w:val="left" w:pos="3120"/>
        </w:tabs>
        <w:spacing w:line="360" w:lineRule="auto"/>
        <w:ind w:firstLine="396"/>
      </w:pPr>
      <w:r>
        <w:rPr>
          <w:rFonts w:hint="eastAsia"/>
        </w:rPr>
        <w:t>（</w:t>
      </w:r>
      <w:r>
        <w:t>4</w:t>
      </w:r>
      <w:r>
        <w:rPr>
          <w:rFonts w:hint="eastAsia"/>
        </w:rPr>
        <w:t>）路堑边坡（含高边坡）应严格按图纸施工</w:t>
      </w:r>
      <w:r>
        <w:t xml:space="preserve">, </w:t>
      </w:r>
      <w:r>
        <w:rPr>
          <w:rFonts w:hint="eastAsia"/>
        </w:rPr>
        <w:t>若实际地质与设计有出入</w:t>
      </w:r>
      <w:r>
        <w:t xml:space="preserve">, </w:t>
      </w:r>
      <w:r>
        <w:rPr>
          <w:rFonts w:hint="eastAsia"/>
        </w:rPr>
        <w:t>承包人应在确保边坡稳定的前提下</w:t>
      </w:r>
      <w:r>
        <w:t xml:space="preserve">, </w:t>
      </w:r>
      <w:r>
        <w:rPr>
          <w:rFonts w:hint="eastAsia"/>
        </w:rPr>
        <w:t>及时提出坡率修改意见报监理审批。</w:t>
      </w:r>
    </w:p>
    <w:p w14:paraId="494A4401">
      <w:pPr>
        <w:tabs>
          <w:tab w:val="left" w:pos="3120"/>
        </w:tabs>
        <w:spacing w:line="360" w:lineRule="auto"/>
        <w:ind w:firstLine="396"/>
      </w:pPr>
      <w:r>
        <w:rPr>
          <w:rFonts w:hint="eastAsia"/>
        </w:rPr>
        <w:t>（</w:t>
      </w:r>
      <w:r>
        <w:t>5</w:t>
      </w:r>
      <w:r>
        <w:rPr>
          <w:rFonts w:hint="eastAsia"/>
        </w:rPr>
        <w:t>）路堑开挖应采用</w:t>
      </w:r>
      <w:r>
        <w:t>“</w:t>
      </w:r>
      <w:r>
        <w:rPr>
          <w:rFonts w:hint="eastAsia"/>
        </w:rPr>
        <w:t>横向分层、纵向分段，两端同步、阶梯掘进</w:t>
      </w:r>
      <w:r>
        <w:t>”</w:t>
      </w:r>
      <w:r>
        <w:rPr>
          <w:rFonts w:hint="eastAsia"/>
        </w:rPr>
        <w:t>的方式施工；运碴通道与掘进工作面应妥善安排，做到运碴、排水、挖掘互不干扰，以确保开挖顺利进行。</w:t>
      </w:r>
    </w:p>
    <w:p w14:paraId="09AE0B39">
      <w:pPr>
        <w:tabs>
          <w:tab w:val="left" w:pos="3120"/>
        </w:tabs>
        <w:spacing w:line="360" w:lineRule="auto"/>
        <w:ind w:firstLine="396"/>
      </w:pPr>
      <w:r>
        <w:rPr>
          <w:rFonts w:hint="eastAsia"/>
        </w:rPr>
        <w:t>（</w:t>
      </w:r>
      <w:r>
        <w:t>6</w:t>
      </w:r>
      <w:r>
        <w:rPr>
          <w:rFonts w:hint="eastAsia"/>
        </w:rPr>
        <w:t>）石方路堑开挖</w:t>
      </w:r>
      <w:r>
        <w:t xml:space="preserve">, </w:t>
      </w:r>
      <w:r>
        <w:rPr>
          <w:rFonts w:hint="eastAsia"/>
        </w:rPr>
        <w:t>应以小型及松动爆破为主</w:t>
      </w:r>
      <w:r>
        <w:t xml:space="preserve">, </w:t>
      </w:r>
      <w:r>
        <w:rPr>
          <w:rFonts w:hint="eastAsia"/>
        </w:rPr>
        <w:t>严禁过量爆破</w:t>
      </w:r>
      <w:r>
        <w:t xml:space="preserve">, </w:t>
      </w:r>
      <w:r>
        <w:rPr>
          <w:rFonts w:hint="eastAsia"/>
        </w:rPr>
        <w:t>特别对边坡开挖尽可能采用光面爆破</w:t>
      </w:r>
      <w:r>
        <w:t xml:space="preserve">, </w:t>
      </w:r>
      <w:r>
        <w:rPr>
          <w:rFonts w:hint="eastAsia"/>
        </w:rPr>
        <w:t>使边坡符合设计要求</w:t>
      </w:r>
      <w:r>
        <w:t xml:space="preserve">, </w:t>
      </w:r>
      <w:r>
        <w:rPr>
          <w:rFonts w:hint="eastAsia"/>
        </w:rPr>
        <w:t>开挖后边坡上不得留有松石、危石，凹凸尺寸不应大于</w:t>
      </w:r>
      <w:r>
        <w:t>100mm</w:t>
      </w:r>
      <w:r>
        <w:rPr>
          <w:rFonts w:hint="eastAsia"/>
        </w:rPr>
        <w:t>，否则应用人工修凿；边坡上每节的碎落台必须按设计图做足，修凿平整，以确保岩体稳定，外侧亏缺部分应用</w:t>
      </w:r>
      <w:r>
        <w:t>30MPa</w:t>
      </w:r>
      <w:r>
        <w:rPr>
          <w:rFonts w:hint="eastAsia"/>
        </w:rPr>
        <w:t>砼补足并锚固。</w:t>
      </w:r>
    </w:p>
    <w:p w14:paraId="6E136BA6">
      <w:pPr>
        <w:tabs>
          <w:tab w:val="left" w:pos="3120"/>
        </w:tabs>
        <w:spacing w:line="360" w:lineRule="auto"/>
        <w:ind w:firstLine="396"/>
      </w:pPr>
      <w:r>
        <w:rPr>
          <w:rFonts w:hint="eastAsia"/>
        </w:rPr>
        <w:t>（</w:t>
      </w:r>
      <w:r>
        <w:t>7</w:t>
      </w:r>
      <w:r>
        <w:rPr>
          <w:rFonts w:hint="eastAsia"/>
        </w:rPr>
        <w:t>）对风化破碎的岩体，为确保边坡稳定，宜采用预裂爆破，再用人工修凿，开挖后边坡防护要及时跟上，避免岩体长期暴露而坍方。雨季暴露时间不宜大于</w:t>
      </w:r>
      <w:r>
        <w:t>1</w:t>
      </w:r>
      <w:r>
        <w:rPr>
          <w:rFonts w:hint="eastAsia"/>
        </w:rPr>
        <w:t>个月，其它季节不大于</w:t>
      </w:r>
      <w:r>
        <w:t>2</w:t>
      </w:r>
      <w:r>
        <w:rPr>
          <w:rFonts w:hint="eastAsia"/>
        </w:rPr>
        <w:t>个月。</w:t>
      </w:r>
    </w:p>
    <w:p w14:paraId="2A35DC76">
      <w:pPr>
        <w:tabs>
          <w:tab w:val="left" w:pos="3120"/>
        </w:tabs>
        <w:spacing w:line="360" w:lineRule="auto"/>
        <w:ind w:firstLine="396"/>
      </w:pPr>
      <w:r>
        <w:rPr>
          <w:rFonts w:hint="eastAsia"/>
        </w:rPr>
        <w:t>（</w:t>
      </w:r>
      <w:r>
        <w:t>8</w:t>
      </w:r>
      <w:r>
        <w:rPr>
          <w:rFonts w:hint="eastAsia"/>
        </w:rPr>
        <w:t>）石方路堑的路床顶面标高</w:t>
      </w:r>
      <w:r>
        <w:t xml:space="preserve">, </w:t>
      </w:r>
      <w:r>
        <w:rPr>
          <w:rFonts w:hint="eastAsia"/>
        </w:rPr>
        <w:t>应符合图纸要求</w:t>
      </w:r>
      <w:r>
        <w:t xml:space="preserve">, </w:t>
      </w:r>
      <w:r>
        <w:rPr>
          <w:rFonts w:hint="eastAsia"/>
        </w:rPr>
        <w:t>只可适当超挖</w:t>
      </w:r>
      <w:r>
        <w:t xml:space="preserve">, </w:t>
      </w:r>
      <w:r>
        <w:rPr>
          <w:rFonts w:hint="eastAsia"/>
        </w:rPr>
        <w:t>不准高出</w:t>
      </w:r>
      <w:r>
        <w:t xml:space="preserve">, </w:t>
      </w:r>
      <w:r>
        <w:rPr>
          <w:rFonts w:hint="eastAsia"/>
        </w:rPr>
        <w:t>以利路床顶面铺设排水层</w:t>
      </w:r>
      <w:r>
        <w:t xml:space="preserve">, </w:t>
      </w:r>
      <w:r>
        <w:rPr>
          <w:rFonts w:hint="eastAsia"/>
        </w:rPr>
        <w:t>适应路面内部排水需要。</w:t>
      </w:r>
    </w:p>
    <w:p w14:paraId="0CD13F32">
      <w:pPr>
        <w:tabs>
          <w:tab w:val="left" w:pos="3120"/>
        </w:tabs>
        <w:spacing w:line="360" w:lineRule="auto"/>
        <w:ind w:firstLine="397"/>
      </w:pPr>
      <w:r>
        <w:rPr>
          <w:rFonts w:hint="eastAsia"/>
        </w:rPr>
        <w:t>（</w:t>
      </w:r>
      <w:r>
        <w:t>9</w:t>
      </w:r>
      <w:r>
        <w:rPr>
          <w:rFonts w:hint="eastAsia"/>
        </w:rPr>
        <w:t>）承包人要做好与路堑两端接头填土的衔接工作；利用路堑挖方（或利用方）填筑，其粒径和填筑工艺应严格按</w:t>
      </w:r>
      <w:r>
        <w:t>204.04</w:t>
      </w:r>
      <w:r>
        <w:rPr>
          <w:rFonts w:hint="eastAsia"/>
        </w:rPr>
        <w:t>第</w:t>
      </w:r>
      <w:r>
        <w:t>7</w:t>
      </w:r>
      <w:r>
        <w:rPr>
          <w:rFonts w:hint="eastAsia"/>
        </w:rPr>
        <w:t>条规定实施，以防止两端填土发生不均匀沉降。</w:t>
      </w:r>
    </w:p>
    <w:p w14:paraId="3A8CC118">
      <w:pPr>
        <w:tabs>
          <w:tab w:val="left" w:pos="3120"/>
        </w:tabs>
        <w:spacing w:line="360" w:lineRule="auto"/>
        <w:ind w:firstLine="397"/>
      </w:pPr>
      <w:r>
        <w:rPr>
          <w:rFonts w:hint="eastAsia"/>
        </w:rPr>
        <w:t>（</w:t>
      </w:r>
      <w:r>
        <w:t>10</w:t>
      </w:r>
      <w:r>
        <w:rPr>
          <w:rFonts w:hint="eastAsia"/>
        </w:rPr>
        <w:t>）高路堑边坡应加强稳定性观测，确保高边坡施工稳定及运营安全。</w:t>
      </w:r>
    </w:p>
    <w:p w14:paraId="2BE95761">
      <w:pPr>
        <w:tabs>
          <w:tab w:val="left" w:pos="3120"/>
        </w:tabs>
        <w:spacing w:line="360" w:lineRule="exact"/>
        <w:ind w:firstLine="396"/>
      </w:pPr>
    </w:p>
    <w:p w14:paraId="5A5D7536">
      <w:pPr>
        <w:pStyle w:val="7"/>
        <w:rPr>
          <w:sz w:val="32"/>
        </w:rPr>
      </w:pPr>
      <w:bookmarkStart w:id="399" w:name="_Toc154675165"/>
      <w:r>
        <w:rPr>
          <w:rFonts w:hint="eastAsia"/>
          <w:sz w:val="32"/>
        </w:rPr>
        <w:t>第</w:t>
      </w:r>
      <w:r>
        <w:rPr>
          <w:sz w:val="32"/>
        </w:rPr>
        <w:t>204</w:t>
      </w:r>
      <w:r>
        <w:rPr>
          <w:rFonts w:hint="eastAsia"/>
          <w:sz w:val="32"/>
        </w:rPr>
        <w:t>节</w:t>
      </w:r>
      <w:r>
        <w:rPr>
          <w:sz w:val="32"/>
        </w:rPr>
        <w:t xml:space="preserve">  </w:t>
      </w:r>
      <w:r>
        <w:rPr>
          <w:rFonts w:hint="eastAsia"/>
          <w:sz w:val="32"/>
        </w:rPr>
        <w:t>填方路基</w:t>
      </w:r>
      <w:bookmarkEnd w:id="399"/>
    </w:p>
    <w:p w14:paraId="63B4C8BC">
      <w:pPr>
        <w:tabs>
          <w:tab w:val="left" w:pos="3120"/>
        </w:tabs>
        <w:spacing w:line="360" w:lineRule="auto"/>
      </w:pPr>
      <w:r>
        <w:rPr>
          <w:rFonts w:eastAsia="黑体"/>
          <w:sz w:val="28"/>
          <w:szCs w:val="28"/>
        </w:rPr>
        <w:t xml:space="preserve">204.04  </w:t>
      </w:r>
      <w:r>
        <w:rPr>
          <w:rFonts w:hint="eastAsia" w:eastAsia="黑体"/>
          <w:sz w:val="28"/>
          <w:szCs w:val="28"/>
        </w:rPr>
        <w:t>施工要求</w:t>
      </w:r>
    </w:p>
    <w:p w14:paraId="253C2533">
      <w:pPr>
        <w:tabs>
          <w:tab w:val="left" w:pos="3120"/>
        </w:tabs>
        <w:spacing w:line="360" w:lineRule="auto"/>
        <w:ind w:firstLine="397"/>
      </w:pPr>
      <w:r>
        <w:rPr>
          <w:rFonts w:hint="eastAsia"/>
        </w:rPr>
        <w:t>补充第</w:t>
      </w:r>
      <w:r>
        <w:t>11</w:t>
      </w:r>
      <w:r>
        <w:rPr>
          <w:rFonts w:hint="eastAsia"/>
        </w:rPr>
        <w:t>条：</w:t>
      </w:r>
    </w:p>
    <w:p w14:paraId="0F79AF7F">
      <w:pPr>
        <w:tabs>
          <w:tab w:val="left" w:pos="3120"/>
        </w:tabs>
        <w:spacing w:line="360" w:lineRule="auto"/>
        <w:ind w:firstLine="397"/>
      </w:pPr>
      <w:r>
        <w:t>11</w:t>
      </w:r>
      <w:r>
        <w:rPr>
          <w:rFonts w:hint="eastAsia"/>
        </w:rPr>
        <w:t>、宕渣路基路堤</w:t>
      </w:r>
    </w:p>
    <w:p w14:paraId="4841020F">
      <w:pPr>
        <w:tabs>
          <w:tab w:val="left" w:pos="3120"/>
        </w:tabs>
        <w:spacing w:line="360" w:lineRule="auto"/>
        <w:ind w:firstLine="397"/>
      </w:pPr>
      <w:r>
        <w:rPr>
          <w:rFonts w:hint="eastAsia"/>
        </w:rPr>
        <w:t>（</w:t>
      </w:r>
      <w:r>
        <w:t>1</w:t>
      </w:r>
      <w:r>
        <w:rPr>
          <w:rFonts w:hint="eastAsia"/>
        </w:rPr>
        <w:t>）填料最大粒径和最小强度（</w:t>
      </w:r>
      <w:r>
        <w:t>CBR</w:t>
      </w:r>
      <w:r>
        <w:rPr>
          <w:rFonts w:hint="eastAsia"/>
        </w:rPr>
        <w:t>）值必须满足设计规范及施工图纸的要求。液限大于</w:t>
      </w:r>
      <w:r>
        <w:t>50%</w:t>
      </w:r>
      <w:r>
        <w:rPr>
          <w:rFonts w:hint="eastAsia"/>
        </w:rPr>
        <w:t>，</w:t>
      </w:r>
    </w:p>
    <w:p w14:paraId="5396DD2E">
      <w:pPr>
        <w:tabs>
          <w:tab w:val="left" w:pos="3120"/>
        </w:tabs>
        <w:spacing w:line="360" w:lineRule="auto"/>
        <w:ind w:firstLine="397"/>
      </w:pPr>
      <w:r>
        <w:rPr>
          <w:rFonts w:hint="eastAsia"/>
        </w:rPr>
        <w:t>塑性指数大于</w:t>
      </w:r>
      <w:r>
        <w:t>26</w:t>
      </w:r>
      <w:r>
        <w:rPr>
          <w:rFonts w:hint="eastAsia"/>
        </w:rPr>
        <w:t>的细粒土，不得直接作为路堤填料。泥炭、淤泥、有机质土等，不得直接用于填筑路基。</w:t>
      </w:r>
    </w:p>
    <w:p w14:paraId="4DBC8B26">
      <w:pPr>
        <w:tabs>
          <w:tab w:val="left" w:pos="3120"/>
        </w:tabs>
        <w:spacing w:line="360" w:lineRule="auto"/>
        <w:ind w:firstLine="397"/>
      </w:pPr>
      <w:r>
        <w:rPr>
          <w:rFonts w:hint="eastAsia"/>
        </w:rPr>
        <w:t>（</w:t>
      </w:r>
      <w:r>
        <w:t>2</w:t>
      </w:r>
      <w:r>
        <w:rPr>
          <w:rFonts w:hint="eastAsia"/>
        </w:rPr>
        <w:t>）路基填筑前应对原地面土质进行碾压夯实，一般路基其压实度不应小于</w:t>
      </w:r>
      <w:r>
        <w:t>90%</w:t>
      </w:r>
      <w:r>
        <w:rPr>
          <w:rFonts w:hint="eastAsia"/>
        </w:rPr>
        <w:t>；并对坡度</w:t>
      </w:r>
      <w:r>
        <w:t>1</w:t>
      </w:r>
      <w:r>
        <w:rPr>
          <w:rFonts w:hint="eastAsia"/>
        </w:rPr>
        <w:t>：</w:t>
      </w:r>
      <w:r>
        <w:t>5</w:t>
      </w:r>
      <w:r>
        <w:rPr>
          <w:rFonts w:hint="eastAsia"/>
        </w:rPr>
        <w:t>以上地基表层进行开挖台阶处理；路基填筑应严格控制填料的粒径、压实度和均匀性，对每一段路基均须分层摊铺、分层均匀碾压。不同土质的填料应分层填筑，且应尽量减少层数，每种填料层总厚不得小于</w:t>
      </w:r>
      <w:r>
        <w:t>500mm</w:t>
      </w:r>
      <w:r>
        <w:rPr>
          <w:rFonts w:hint="eastAsia"/>
        </w:rPr>
        <w:t>。</w:t>
      </w:r>
    </w:p>
    <w:p w14:paraId="235D9EC0">
      <w:pPr>
        <w:tabs>
          <w:tab w:val="left" w:pos="3120"/>
        </w:tabs>
        <w:spacing w:line="360" w:lineRule="auto"/>
        <w:ind w:firstLine="397"/>
      </w:pPr>
      <w:r>
        <w:rPr>
          <w:rFonts w:hint="eastAsia"/>
        </w:rPr>
        <w:t>（</w:t>
      </w:r>
      <w:r>
        <w:t>3</w:t>
      </w:r>
      <w:r>
        <w:rPr>
          <w:rFonts w:hint="eastAsia"/>
        </w:rPr>
        <w:t>）路堤填土宽度每侧应宽于路基设计宽度</w:t>
      </w:r>
      <w:r>
        <w:t>30cm</w:t>
      </w:r>
      <w:r>
        <w:rPr>
          <w:rFonts w:hint="eastAsia"/>
        </w:rPr>
        <w:t>，压实宽度不得小于设计宽度，最后削坡，以保证修整路基边坡后的路堤边缘有足够的压实度，并及时进行边坡防护，以防雨水冲刷。</w:t>
      </w:r>
    </w:p>
    <w:p w14:paraId="51339B70">
      <w:pPr>
        <w:tabs>
          <w:tab w:val="left" w:pos="3120"/>
        </w:tabs>
        <w:spacing w:line="360" w:lineRule="auto"/>
        <w:ind w:firstLine="397"/>
      </w:pPr>
      <w:r>
        <w:rPr>
          <w:rFonts w:hint="eastAsia"/>
        </w:rPr>
        <w:t>（</w:t>
      </w:r>
      <w:r>
        <w:t>4</w:t>
      </w:r>
      <w:r>
        <w:rPr>
          <w:rFonts w:hint="eastAsia"/>
        </w:rPr>
        <w:t>）路基填筑时，应分层碾压，每层虚方厚度不大于</w:t>
      </w:r>
      <w:r>
        <w:t>30cm</w:t>
      </w:r>
      <w:r>
        <w:rPr>
          <w:rFonts w:hint="eastAsia"/>
        </w:rPr>
        <w:t>，桥涵、挡墙台后每层虚方厚度不大于</w:t>
      </w:r>
      <w:r>
        <w:t>20cm</w:t>
      </w:r>
      <w:r>
        <w:rPr>
          <w:rFonts w:hint="eastAsia"/>
        </w:rPr>
        <w:t>厚度，每一水平层均应采用同类填料填筑；上路床填料中</w:t>
      </w:r>
      <w:r>
        <w:t>0.5</w:t>
      </w:r>
      <w:r>
        <w:rPr>
          <w:rFonts w:hint="eastAsia"/>
        </w:rPr>
        <w:t>～</w:t>
      </w:r>
      <w:r>
        <w:t>4cm</w:t>
      </w:r>
      <w:r>
        <w:rPr>
          <w:rFonts w:hint="eastAsia"/>
        </w:rPr>
        <w:t>的颗粒应占到</w:t>
      </w:r>
      <w:r>
        <w:t>70%</w:t>
      </w:r>
      <w:r>
        <w:rPr>
          <w:rFonts w:hint="eastAsia"/>
        </w:rPr>
        <w:t>以上；涵顶填土</w:t>
      </w:r>
      <w:r>
        <w:t>50cm</w:t>
      </w:r>
      <w:r>
        <w:rPr>
          <w:rFonts w:hint="eastAsia"/>
        </w:rPr>
        <w:t>以内用静压，超过</w:t>
      </w:r>
      <w:r>
        <w:t>50cm</w:t>
      </w:r>
      <w:r>
        <w:rPr>
          <w:rFonts w:hint="eastAsia"/>
        </w:rPr>
        <w:t>后，才能用振动压路机在其上进行碾压。</w:t>
      </w:r>
    </w:p>
    <w:p w14:paraId="57F2B61F">
      <w:pPr>
        <w:tabs>
          <w:tab w:val="left" w:pos="3120"/>
        </w:tabs>
        <w:spacing w:line="360" w:lineRule="auto"/>
        <w:ind w:firstLine="397"/>
      </w:pPr>
    </w:p>
    <w:p w14:paraId="11D4BCFF">
      <w:pPr>
        <w:tabs>
          <w:tab w:val="left" w:pos="3120"/>
        </w:tabs>
        <w:spacing w:line="360" w:lineRule="auto"/>
      </w:pPr>
      <w:r>
        <w:rPr>
          <w:rFonts w:hint="eastAsia"/>
        </w:rPr>
        <w:t>补充第</w:t>
      </w:r>
      <w:r>
        <w:t>216</w:t>
      </w:r>
      <w:r>
        <w:rPr>
          <w:rFonts w:hint="eastAsia"/>
        </w:rPr>
        <w:t>节：</w:t>
      </w:r>
    </w:p>
    <w:p w14:paraId="725AA228">
      <w:pPr>
        <w:tabs>
          <w:tab w:val="left" w:pos="3120"/>
        </w:tabs>
        <w:spacing w:line="360" w:lineRule="auto"/>
      </w:pPr>
    </w:p>
    <w:p w14:paraId="053A7473">
      <w:pPr>
        <w:pStyle w:val="7"/>
        <w:rPr>
          <w:sz w:val="32"/>
        </w:rPr>
      </w:pPr>
      <w:bookmarkStart w:id="400" w:name="_Toc154675166"/>
      <w:r>
        <w:rPr>
          <w:rFonts w:hint="eastAsia"/>
          <w:sz w:val="32"/>
        </w:rPr>
        <w:t>第</w:t>
      </w:r>
      <w:r>
        <w:rPr>
          <w:sz w:val="32"/>
        </w:rPr>
        <w:t>216</w:t>
      </w:r>
      <w:r>
        <w:rPr>
          <w:rFonts w:hint="eastAsia"/>
          <w:sz w:val="32"/>
        </w:rPr>
        <w:t>节</w:t>
      </w:r>
      <w:r>
        <w:rPr>
          <w:sz w:val="32"/>
        </w:rPr>
        <w:t xml:space="preserve">  </w:t>
      </w:r>
      <w:r>
        <w:rPr>
          <w:rFonts w:hint="eastAsia"/>
          <w:sz w:val="32"/>
        </w:rPr>
        <w:t>路基不均匀沉降的防治</w:t>
      </w:r>
      <w:bookmarkEnd w:id="400"/>
    </w:p>
    <w:p w14:paraId="04FEF1AE">
      <w:pPr>
        <w:tabs>
          <w:tab w:val="left" w:pos="3120"/>
        </w:tabs>
        <w:jc w:val="center"/>
        <w:rPr>
          <w:rFonts w:eastAsia="黑体"/>
          <w:sz w:val="32"/>
        </w:rPr>
      </w:pPr>
    </w:p>
    <w:p w14:paraId="01B811EE">
      <w:pPr>
        <w:tabs>
          <w:tab w:val="left" w:pos="3120"/>
        </w:tabs>
        <w:spacing w:line="360" w:lineRule="auto"/>
      </w:pPr>
      <w:r>
        <w:rPr>
          <w:rFonts w:eastAsia="黑体"/>
          <w:sz w:val="28"/>
          <w:szCs w:val="28"/>
        </w:rPr>
        <w:t xml:space="preserve">216.01  </w:t>
      </w:r>
      <w:r>
        <w:rPr>
          <w:rFonts w:hint="eastAsia" w:eastAsia="黑体"/>
          <w:sz w:val="28"/>
          <w:szCs w:val="28"/>
        </w:rPr>
        <w:t>基本要求</w:t>
      </w:r>
    </w:p>
    <w:p w14:paraId="32BC9A75">
      <w:pPr>
        <w:spacing w:line="360" w:lineRule="auto"/>
        <w:ind w:firstLine="397"/>
      </w:pPr>
      <w:r>
        <w:t xml:space="preserve">1. </w:t>
      </w:r>
      <w:r>
        <w:rPr>
          <w:rFonts w:hint="eastAsia"/>
        </w:rPr>
        <w:t>路基不均匀沉降是路基施工中存在的通病，主要是由于填层过厚、粒径过大、基底（软基）处理不当、压实不足等原因引起，承包人对此必须予以高度重视。</w:t>
      </w:r>
    </w:p>
    <w:p w14:paraId="2059BE73">
      <w:pPr>
        <w:spacing w:line="360" w:lineRule="auto"/>
        <w:ind w:firstLine="397"/>
      </w:pPr>
      <w:r>
        <w:t>2</w:t>
      </w:r>
      <w:r>
        <w:rPr>
          <w:rFonts w:hint="eastAsia"/>
        </w:rPr>
        <w:t>．承包人对标段内易产生不均匀沉降的路基，如横向半填半挖路段、纵向填挖交界路段、填河（塘）路段及高填土路段等敏感路段的填筑</w:t>
      </w:r>
      <w:r>
        <w:t xml:space="preserve">, </w:t>
      </w:r>
      <w:r>
        <w:rPr>
          <w:rFonts w:hint="eastAsia"/>
        </w:rPr>
        <w:t>必须摸清情况</w:t>
      </w:r>
      <w:r>
        <w:t xml:space="preserve">, </w:t>
      </w:r>
      <w:r>
        <w:rPr>
          <w:rFonts w:hint="eastAsia"/>
        </w:rPr>
        <w:t>针对各路段不同类型</w:t>
      </w:r>
      <w:r>
        <w:t xml:space="preserve">, </w:t>
      </w:r>
      <w:r>
        <w:rPr>
          <w:rFonts w:hint="eastAsia"/>
        </w:rPr>
        <w:t>按照设计要求</w:t>
      </w:r>
      <w:r>
        <w:t xml:space="preserve">, </w:t>
      </w:r>
      <w:r>
        <w:rPr>
          <w:rFonts w:hint="eastAsia"/>
        </w:rPr>
        <w:t>提出切实可行的施工工艺和措施</w:t>
      </w:r>
      <w:r>
        <w:t xml:space="preserve">, </w:t>
      </w:r>
      <w:r>
        <w:rPr>
          <w:rFonts w:hint="eastAsia"/>
        </w:rPr>
        <w:t>报经监理人审查批准后</w:t>
      </w:r>
      <w:r>
        <w:t xml:space="preserve">, </w:t>
      </w:r>
      <w:r>
        <w:rPr>
          <w:rFonts w:hint="eastAsia"/>
        </w:rPr>
        <w:t>认真实施。</w:t>
      </w:r>
    </w:p>
    <w:p w14:paraId="34E1B307">
      <w:pPr>
        <w:spacing w:line="360" w:lineRule="auto"/>
        <w:ind w:firstLine="397"/>
      </w:pPr>
      <w:r>
        <w:t xml:space="preserve">3. </w:t>
      </w:r>
      <w:r>
        <w:rPr>
          <w:rFonts w:hint="eastAsia"/>
        </w:rPr>
        <w:t>承包人应重视路基填料料源的选择和填筑材料的试验。路基填料的最小强度和最大粒径应符合本规范表</w:t>
      </w:r>
      <w:r>
        <w:t>204-1</w:t>
      </w:r>
      <w:r>
        <w:rPr>
          <w:rFonts w:hint="eastAsia"/>
        </w:rPr>
        <w:t>要求。材料粒径必须在料场控制，严禁超粒径石块运到工地后再用人工解小。料源（借土场或利用方）确定后</w:t>
      </w:r>
      <w:r>
        <w:t xml:space="preserve">, </w:t>
      </w:r>
      <w:r>
        <w:rPr>
          <w:rFonts w:hint="eastAsia"/>
        </w:rPr>
        <w:t>应进行填方材料的试验</w:t>
      </w:r>
      <w:r>
        <w:t xml:space="preserve">, </w:t>
      </w:r>
      <w:r>
        <w:rPr>
          <w:rFonts w:hint="eastAsia"/>
        </w:rPr>
        <w:t>并将试验结果报监理人批准。</w:t>
      </w:r>
    </w:p>
    <w:p w14:paraId="3BF3F298">
      <w:pPr>
        <w:tabs>
          <w:tab w:val="left" w:pos="3120"/>
        </w:tabs>
        <w:spacing w:line="360" w:lineRule="auto"/>
      </w:pPr>
      <w:r>
        <w:rPr>
          <w:rFonts w:eastAsia="黑体"/>
          <w:sz w:val="28"/>
          <w:szCs w:val="28"/>
        </w:rPr>
        <w:t xml:space="preserve">216.02  </w:t>
      </w:r>
      <w:r>
        <w:rPr>
          <w:rFonts w:hint="eastAsia" w:eastAsia="黑体"/>
          <w:sz w:val="28"/>
          <w:szCs w:val="28"/>
        </w:rPr>
        <w:t>施工要点</w:t>
      </w:r>
    </w:p>
    <w:p w14:paraId="577E5AE8">
      <w:pPr>
        <w:spacing w:line="360" w:lineRule="auto"/>
        <w:ind w:firstLine="396"/>
      </w:pPr>
      <w:r>
        <w:rPr>
          <w:rFonts w:hint="eastAsia"/>
        </w:rPr>
        <w:t>承包人除严格按设计要求和本规范</w:t>
      </w:r>
      <w:r>
        <w:t>204.04</w:t>
      </w:r>
      <w:r>
        <w:rPr>
          <w:rFonts w:hint="eastAsia"/>
        </w:rPr>
        <w:t>小节施工要求进行路堤填筑外</w:t>
      </w:r>
      <w:r>
        <w:t xml:space="preserve">, </w:t>
      </w:r>
      <w:r>
        <w:rPr>
          <w:rFonts w:hint="eastAsia"/>
        </w:rPr>
        <w:t>对下列不同类型路段的路基填筑更应重视：</w:t>
      </w:r>
    </w:p>
    <w:p w14:paraId="4DE8DE2F">
      <w:pPr>
        <w:spacing w:line="360" w:lineRule="auto"/>
        <w:ind w:firstLine="396"/>
      </w:pPr>
      <w:r>
        <w:t>1.</w:t>
      </w:r>
      <w:r>
        <w:rPr>
          <w:rFonts w:hint="eastAsia"/>
        </w:rPr>
        <w:t>水塘（河）地段填方</w:t>
      </w:r>
    </w:p>
    <w:p w14:paraId="0004453F">
      <w:pPr>
        <w:spacing w:line="360" w:lineRule="auto"/>
        <w:ind w:firstLine="396"/>
      </w:pPr>
      <w:r>
        <w:rPr>
          <w:rFonts w:hint="eastAsia"/>
        </w:rPr>
        <w:t>（</w:t>
      </w:r>
      <w:r>
        <w:t>1</w:t>
      </w:r>
      <w:r>
        <w:rPr>
          <w:rFonts w:hint="eastAsia"/>
        </w:rPr>
        <w:t>）要重视水塘（河）地段的路基填筑，避免因填筑不当，引起路基局部不均匀沉降而开裂沉陷。</w:t>
      </w:r>
    </w:p>
    <w:p w14:paraId="3CFC04DA">
      <w:pPr>
        <w:spacing w:line="360" w:lineRule="auto"/>
        <w:ind w:firstLine="396"/>
      </w:pPr>
      <w:r>
        <w:rPr>
          <w:rFonts w:hint="eastAsia"/>
        </w:rPr>
        <w:t>（</w:t>
      </w:r>
      <w:r>
        <w:t>2</w:t>
      </w:r>
      <w:r>
        <w:rPr>
          <w:rFonts w:hint="eastAsia"/>
        </w:rPr>
        <w:t>）水塘（河）地段填方施工宜在干燥和雨量较少的季节进行。</w:t>
      </w:r>
    </w:p>
    <w:p w14:paraId="27C1C10B">
      <w:pPr>
        <w:spacing w:line="360" w:lineRule="auto"/>
        <w:ind w:firstLine="396"/>
        <w:rPr>
          <w:spacing w:val="-4"/>
        </w:rPr>
      </w:pPr>
      <w:r>
        <w:rPr>
          <w:rFonts w:hint="eastAsia"/>
          <w:spacing w:val="-4"/>
        </w:rPr>
        <w:t>（</w:t>
      </w:r>
      <w:r>
        <w:rPr>
          <w:spacing w:val="-4"/>
        </w:rPr>
        <w:t>3</w:t>
      </w:r>
      <w:r>
        <w:rPr>
          <w:rFonts w:hint="eastAsia"/>
          <w:spacing w:val="-4"/>
        </w:rPr>
        <w:t>）承包人应按图纸或监理人的要求，围堰抽水，清除表层淤泥，并用渗水性良好的材料分层回填压实至常水位以上</w:t>
      </w:r>
      <w:r>
        <w:rPr>
          <w:spacing w:val="-4"/>
        </w:rPr>
        <w:t>50cm</w:t>
      </w:r>
      <w:r>
        <w:rPr>
          <w:rFonts w:hint="eastAsia"/>
          <w:spacing w:val="-4"/>
        </w:rPr>
        <w:t>，然后进行填塘（河）部分路基的软基处理施工或正常的填筑（不需进行软基处理）。围堰应至少高出最高水位</w:t>
      </w:r>
      <w:r>
        <w:rPr>
          <w:spacing w:val="-4"/>
        </w:rPr>
        <w:t xml:space="preserve">30cm, </w:t>
      </w:r>
      <w:r>
        <w:rPr>
          <w:rFonts w:hint="eastAsia"/>
          <w:spacing w:val="-4"/>
        </w:rPr>
        <w:t>不得有渗漏现象，同时要保证在整个施工期间处于完好状态。</w:t>
      </w:r>
    </w:p>
    <w:p w14:paraId="734A3166">
      <w:pPr>
        <w:spacing w:line="360" w:lineRule="auto"/>
        <w:ind w:firstLine="396"/>
      </w:pPr>
      <w:r>
        <w:rPr>
          <w:rFonts w:hint="eastAsia"/>
        </w:rPr>
        <w:t>（</w:t>
      </w:r>
      <w:r>
        <w:t>4</w:t>
      </w:r>
      <w:r>
        <w:rPr>
          <w:rFonts w:hint="eastAsia"/>
        </w:rPr>
        <w:t>）若设计采用抛石挤淤方法填筑河、塘时，抛石挤淤应按图纸或监理人的要求进行，抛填应从路堤中心成等腰三角形向前抛填，渐次向两侧对称地抛填至全宽，使淤泥向两侧挤出。当是单侧抛挤时，应从高侧向低侧抛投，并在低侧边部多抛填，使低侧边部有不少于</w:t>
      </w:r>
      <w:r>
        <w:t>2m</w:t>
      </w:r>
      <w:r>
        <w:rPr>
          <w:rFonts w:hint="eastAsia"/>
        </w:rPr>
        <w:t>的平台顶面。抛石顶面一般需高于常水位</w:t>
      </w:r>
      <w:r>
        <w:t>50cm</w:t>
      </w:r>
      <w:r>
        <w:rPr>
          <w:rFonts w:hint="eastAsia"/>
        </w:rPr>
        <w:t>并预留沉降，而后用较小石块和碎石填塞垫平，用重型压路机压实至稳定。</w:t>
      </w:r>
    </w:p>
    <w:p w14:paraId="3F6750C1">
      <w:pPr>
        <w:spacing w:line="360" w:lineRule="auto"/>
        <w:ind w:firstLine="396"/>
      </w:pPr>
      <w:r>
        <w:rPr>
          <w:rFonts w:hint="eastAsia"/>
        </w:rPr>
        <w:t>（</w:t>
      </w:r>
      <w:r>
        <w:t>5</w:t>
      </w:r>
      <w:r>
        <w:rPr>
          <w:rFonts w:hint="eastAsia"/>
        </w:rPr>
        <w:t>）当遇路基半侧在水塘（河）中情况时</w:t>
      </w:r>
      <w:r>
        <w:t xml:space="preserve">, </w:t>
      </w:r>
      <w:r>
        <w:rPr>
          <w:rFonts w:hint="eastAsia"/>
        </w:rPr>
        <w:t>施工应注意拼填部位的填筑质量</w:t>
      </w:r>
      <w:r>
        <w:t xml:space="preserve">, </w:t>
      </w:r>
      <w:r>
        <w:rPr>
          <w:rFonts w:hint="eastAsia"/>
        </w:rPr>
        <w:t>除需清除塘（河）坎侧的树根杂草外</w:t>
      </w:r>
      <w:r>
        <w:t xml:space="preserve">, </w:t>
      </w:r>
      <w:r>
        <w:rPr>
          <w:rFonts w:hint="eastAsia"/>
        </w:rPr>
        <w:t>还应将表面松土清除</w:t>
      </w:r>
      <w:r>
        <w:t xml:space="preserve">, </w:t>
      </w:r>
      <w:r>
        <w:rPr>
          <w:rFonts w:hint="eastAsia"/>
        </w:rPr>
        <w:t>拼填时随填高要求挖出台阶</w:t>
      </w:r>
      <w:r>
        <w:t xml:space="preserve">, </w:t>
      </w:r>
      <w:r>
        <w:rPr>
          <w:rFonts w:hint="eastAsia"/>
        </w:rPr>
        <w:t>分层压实至设计要求压实度。台阶处可用人工或机夯压实，以保证拼填部位密实稳固。</w:t>
      </w:r>
    </w:p>
    <w:p w14:paraId="1A0BD25B">
      <w:pPr>
        <w:spacing w:line="360" w:lineRule="auto"/>
        <w:ind w:firstLine="396"/>
      </w:pPr>
      <w:r>
        <w:rPr>
          <w:rFonts w:hint="eastAsia"/>
        </w:rPr>
        <w:t>（</w:t>
      </w:r>
      <w:r>
        <w:t>6</w:t>
      </w:r>
      <w:r>
        <w:rPr>
          <w:rFonts w:hint="eastAsia"/>
        </w:rPr>
        <w:t>）沿河路基施工时</w:t>
      </w:r>
      <w:r>
        <w:t xml:space="preserve">, </w:t>
      </w:r>
      <w:r>
        <w:rPr>
          <w:rFonts w:hint="eastAsia"/>
        </w:rPr>
        <w:t>原河道如需拼宽开挖及沿河侧路基防护等河道内作业</w:t>
      </w:r>
      <w:r>
        <w:t xml:space="preserve">, </w:t>
      </w:r>
      <w:r>
        <w:rPr>
          <w:rFonts w:hint="eastAsia"/>
        </w:rPr>
        <w:t>必须在路堤填筑前先行完成</w:t>
      </w:r>
      <w:r>
        <w:t xml:space="preserve">, </w:t>
      </w:r>
      <w:r>
        <w:rPr>
          <w:rFonts w:hint="eastAsia"/>
        </w:rPr>
        <w:t>严禁在路堤填筑期间抽干河中积水进行河道内作业。</w:t>
      </w:r>
    </w:p>
    <w:p w14:paraId="54D7CD7B">
      <w:pPr>
        <w:spacing w:line="360" w:lineRule="auto"/>
        <w:ind w:firstLine="396"/>
      </w:pPr>
      <w:r>
        <w:rPr>
          <w:rFonts w:hint="eastAsia"/>
        </w:rPr>
        <w:t>（</w:t>
      </w:r>
      <w:r>
        <w:t>7</w:t>
      </w:r>
      <w:r>
        <w:rPr>
          <w:rFonts w:hint="eastAsia"/>
        </w:rPr>
        <w:t>）用土工合成材料加固的填河（塘）路段</w:t>
      </w:r>
      <w:r>
        <w:t xml:space="preserve">, </w:t>
      </w:r>
      <w:r>
        <w:rPr>
          <w:rFonts w:hint="eastAsia"/>
        </w:rPr>
        <w:t>土工合成材料及铺设层位必须按图纸所指示的要求执行。土工合成材料必须横跨并超出河（塘）岸线铺设</w:t>
      </w:r>
      <w:r>
        <w:t xml:space="preserve">, </w:t>
      </w:r>
      <w:r>
        <w:rPr>
          <w:rFonts w:hint="eastAsia"/>
        </w:rPr>
        <w:t>并满足图纸要求的最小锚固长度。</w:t>
      </w:r>
    </w:p>
    <w:p w14:paraId="0EC0717C">
      <w:pPr>
        <w:spacing w:line="360" w:lineRule="auto"/>
        <w:ind w:firstLine="396"/>
      </w:pPr>
      <w:r>
        <w:rPr>
          <w:rFonts w:hint="eastAsia"/>
        </w:rPr>
        <w:t>（</w:t>
      </w:r>
      <w:r>
        <w:t>8</w:t>
      </w:r>
      <w:r>
        <w:rPr>
          <w:rFonts w:hint="eastAsia"/>
        </w:rPr>
        <w:t>）承包人在水塘（河）地段填筑时</w:t>
      </w:r>
      <w:r>
        <w:t xml:space="preserve">, </w:t>
      </w:r>
      <w:r>
        <w:rPr>
          <w:rFonts w:hint="eastAsia"/>
        </w:rPr>
        <w:t>应及时设置水平位移和沉降观测标桩</w:t>
      </w:r>
      <w:r>
        <w:t xml:space="preserve">, </w:t>
      </w:r>
      <w:r>
        <w:rPr>
          <w:rFonts w:hint="eastAsia"/>
        </w:rPr>
        <w:t>以便按规定时限进行观测。观测断面的设置间距不大于</w:t>
      </w:r>
      <w:r>
        <w:t>50m</w:t>
      </w:r>
      <w:r>
        <w:rPr>
          <w:rFonts w:hint="eastAsia"/>
        </w:rPr>
        <w:t>。</w:t>
      </w:r>
    </w:p>
    <w:p w14:paraId="1810C259">
      <w:pPr>
        <w:spacing w:line="360" w:lineRule="auto"/>
        <w:ind w:firstLine="396"/>
      </w:pPr>
      <w:r>
        <w:rPr>
          <w:rFonts w:hint="eastAsia"/>
        </w:rPr>
        <w:t>若路基只有一侧在水塘（河）中</w:t>
      </w:r>
      <w:r>
        <w:t xml:space="preserve">, </w:t>
      </w:r>
      <w:r>
        <w:rPr>
          <w:rFonts w:hint="eastAsia"/>
        </w:rPr>
        <w:t>则沉降观测标桩应设置在左右路肩和路中心处。靠水塘（河）侧水平位移标设置于坡脚、护坡道外缘或监理人指定的位置，另一侧与正常路堤相同。</w:t>
      </w:r>
    </w:p>
    <w:p w14:paraId="700F4D38">
      <w:pPr>
        <w:spacing w:line="360" w:lineRule="auto"/>
        <w:ind w:firstLine="396"/>
      </w:pPr>
      <w:r>
        <w:t xml:space="preserve">2. </w:t>
      </w:r>
      <w:r>
        <w:rPr>
          <w:rFonts w:hint="eastAsia"/>
        </w:rPr>
        <w:t>高填方路堤</w:t>
      </w:r>
    </w:p>
    <w:p w14:paraId="7EED05D3">
      <w:pPr>
        <w:spacing w:line="360" w:lineRule="auto"/>
        <w:ind w:firstLine="396"/>
      </w:pPr>
      <w:r>
        <w:rPr>
          <w:rFonts w:hint="eastAsia"/>
        </w:rPr>
        <w:t>（</w:t>
      </w:r>
      <w:r>
        <w:t>1</w:t>
      </w:r>
      <w:r>
        <w:rPr>
          <w:rFonts w:hint="eastAsia"/>
        </w:rPr>
        <w:t>）承包人要重视超过</w:t>
      </w:r>
      <w:r>
        <w:t>5m</w:t>
      </w:r>
      <w:r>
        <w:rPr>
          <w:rFonts w:hint="eastAsia"/>
        </w:rPr>
        <w:t>以上的高填土的填筑</w:t>
      </w:r>
      <w:r>
        <w:t xml:space="preserve">, </w:t>
      </w:r>
      <w:r>
        <w:rPr>
          <w:rFonts w:hint="eastAsia"/>
        </w:rPr>
        <w:t>避免因填筑不当</w:t>
      </w:r>
      <w:r>
        <w:t xml:space="preserve">, </w:t>
      </w:r>
      <w:r>
        <w:rPr>
          <w:rFonts w:hint="eastAsia"/>
        </w:rPr>
        <w:t>压实不足引起路基不均匀沉降而局部开裂、沉陷。要严格按照图纸的要求及本规范</w:t>
      </w:r>
      <w:r>
        <w:t>204.04-6</w:t>
      </w:r>
      <w:r>
        <w:rPr>
          <w:rFonts w:hint="eastAsia"/>
        </w:rPr>
        <w:t>条规定的填方路堤进行填筑。</w:t>
      </w:r>
    </w:p>
    <w:p w14:paraId="7288BCB8">
      <w:pPr>
        <w:spacing w:line="360" w:lineRule="auto"/>
        <w:ind w:firstLine="396"/>
        <w:rPr>
          <w:spacing w:val="-2"/>
        </w:rPr>
      </w:pPr>
      <w:r>
        <w:rPr>
          <w:rFonts w:hint="eastAsia"/>
          <w:spacing w:val="-2"/>
        </w:rPr>
        <w:t>（</w:t>
      </w:r>
      <w:r>
        <w:rPr>
          <w:spacing w:val="-2"/>
        </w:rPr>
        <w:t>2</w:t>
      </w:r>
      <w:r>
        <w:rPr>
          <w:rFonts w:hint="eastAsia"/>
          <w:spacing w:val="-2"/>
        </w:rPr>
        <w:t>）高填土填筑除做好原地面的清理工作外，重点要抓住粒径、层厚和压实三个主要环节，要严格控制石料的最大粒径</w:t>
      </w:r>
      <w:r>
        <w:rPr>
          <w:spacing w:val="-2"/>
        </w:rPr>
        <w:t>,</w:t>
      </w:r>
      <w:r>
        <w:rPr>
          <w:rFonts w:hint="eastAsia"/>
          <w:spacing w:val="-2"/>
        </w:rPr>
        <w:t>石料的最大粒径在路堤（路床底面</w:t>
      </w:r>
      <w:r>
        <w:rPr>
          <w:spacing w:val="-2"/>
        </w:rPr>
        <w:t>1.5m</w:t>
      </w:r>
      <w:r>
        <w:rPr>
          <w:rFonts w:hint="eastAsia"/>
          <w:spacing w:val="-2"/>
        </w:rPr>
        <w:t>以下）不超过层厚的</w:t>
      </w:r>
      <w:r>
        <w:rPr>
          <w:spacing w:val="-2"/>
        </w:rPr>
        <w:t>2/3</w:t>
      </w:r>
      <w:r>
        <w:rPr>
          <w:rFonts w:hint="eastAsia"/>
          <w:spacing w:val="-2"/>
        </w:rPr>
        <w:t>；应采取措施分层填筑，分层碾压，砂性土层厚不超过</w:t>
      </w:r>
      <w:r>
        <w:rPr>
          <w:spacing w:val="-2"/>
        </w:rPr>
        <w:t>30cm</w:t>
      </w:r>
      <w:r>
        <w:rPr>
          <w:rFonts w:hint="eastAsia"/>
          <w:spacing w:val="-2"/>
        </w:rPr>
        <w:t>，土石混合料层厚不超过</w:t>
      </w:r>
      <w:r>
        <w:rPr>
          <w:spacing w:val="-2"/>
        </w:rPr>
        <w:t>40cm</w:t>
      </w:r>
      <w:r>
        <w:rPr>
          <w:rFonts w:hint="eastAsia"/>
          <w:spacing w:val="-2"/>
        </w:rPr>
        <w:t>，宕渣层厚不超过</w:t>
      </w:r>
      <w:r>
        <w:rPr>
          <w:spacing w:val="-2"/>
        </w:rPr>
        <w:t>50cm</w:t>
      </w:r>
      <w:r>
        <w:rPr>
          <w:rFonts w:hint="eastAsia"/>
          <w:spacing w:val="-2"/>
        </w:rPr>
        <w:t>。</w:t>
      </w:r>
    </w:p>
    <w:p w14:paraId="1F967CA4">
      <w:pPr>
        <w:spacing w:line="360" w:lineRule="auto"/>
        <w:ind w:firstLine="396"/>
      </w:pPr>
      <w:r>
        <w:rPr>
          <w:rFonts w:hint="eastAsia"/>
        </w:rPr>
        <w:t>（</w:t>
      </w:r>
      <w:r>
        <w:t>3</w:t>
      </w:r>
      <w:r>
        <w:rPr>
          <w:rFonts w:hint="eastAsia"/>
        </w:rPr>
        <w:t>）足够的碾压是消除路堤固结形变的最有效方法。高路堤的固结形变历时较长，在固结过程中高路堤会产生不均匀沉陷，不均匀沉陷对路面是十分有害的。如路堤土的密实度接近重型击实试验法的最大干密度，则路堤一般不再产生固结形变。因此提高压实能力，完善压实工艺，以高标准进行路基的压实是保证路基应有强度和稳定性的一项最经济有效的技术措施，承包人在高路堤填筑前，必须有详细的作业计划，报监理人批准后认真实施。</w:t>
      </w:r>
    </w:p>
    <w:p w14:paraId="756E35F4">
      <w:pPr>
        <w:spacing w:line="360" w:lineRule="auto"/>
        <w:ind w:firstLine="396"/>
        <w:rPr>
          <w:sz w:val="10"/>
        </w:rPr>
      </w:pPr>
      <w:r>
        <w:rPr>
          <w:rFonts w:hint="eastAsia"/>
        </w:rPr>
        <w:t>（</w:t>
      </w:r>
      <w:r>
        <w:t>4</w:t>
      </w:r>
      <w:r>
        <w:rPr>
          <w:rFonts w:hint="eastAsia"/>
        </w:rPr>
        <w:t>）高填方的宕碴路堤，承包人应选择具有级配的宕渣料源，并根据气候条件组织填筑及碾压，局部填层表面空隙较大地段，应用碎石、石屑、砂砾等材料填充，以增加路基的密实度和稳定性。</w:t>
      </w:r>
    </w:p>
    <w:p w14:paraId="1216F499">
      <w:pPr>
        <w:spacing w:line="240" w:lineRule="auto"/>
        <w:jc w:val="left"/>
        <w:outlineLvl w:val="9"/>
      </w:pPr>
      <w:r>
        <w:br w:type="page"/>
      </w:r>
      <w:bookmarkStart w:id="401" w:name="_Toc484679341"/>
    </w:p>
    <w:p w14:paraId="05A573B4">
      <w:pPr>
        <w:spacing w:line="500" w:lineRule="exact"/>
        <w:jc w:val="center"/>
        <w:outlineLvl w:val="2"/>
        <w:rPr>
          <w:rFonts w:eastAsia="黑体"/>
          <w:sz w:val="44"/>
        </w:rPr>
      </w:pPr>
      <w:bookmarkStart w:id="402" w:name="_Toc8896"/>
      <w:bookmarkStart w:id="403" w:name="_Toc154675167"/>
      <w:r>
        <w:rPr>
          <w:rFonts w:hint="eastAsia" w:eastAsia="黑体"/>
          <w:sz w:val="44"/>
        </w:rPr>
        <w:t>第</w:t>
      </w:r>
      <w:r>
        <w:rPr>
          <w:rFonts w:eastAsia="黑体"/>
          <w:sz w:val="44"/>
        </w:rPr>
        <w:t>300</w:t>
      </w:r>
      <w:r>
        <w:rPr>
          <w:rFonts w:hint="eastAsia" w:eastAsia="黑体"/>
          <w:sz w:val="44"/>
        </w:rPr>
        <w:t>章</w:t>
      </w:r>
      <w:r>
        <w:rPr>
          <w:rFonts w:eastAsia="黑体"/>
          <w:sz w:val="44"/>
        </w:rPr>
        <w:t xml:space="preserve">  </w:t>
      </w:r>
      <w:r>
        <w:rPr>
          <w:rFonts w:hint="eastAsia" w:eastAsia="黑体"/>
          <w:sz w:val="44"/>
        </w:rPr>
        <w:t>路</w:t>
      </w:r>
      <w:r>
        <w:rPr>
          <w:rFonts w:eastAsia="黑体"/>
          <w:sz w:val="44"/>
        </w:rPr>
        <w:t xml:space="preserve">    </w:t>
      </w:r>
      <w:r>
        <w:rPr>
          <w:rFonts w:hint="eastAsia" w:eastAsia="黑体"/>
          <w:sz w:val="44"/>
        </w:rPr>
        <w:t>面</w:t>
      </w:r>
      <w:bookmarkEnd w:id="401"/>
      <w:bookmarkEnd w:id="402"/>
      <w:bookmarkEnd w:id="403"/>
    </w:p>
    <w:p w14:paraId="1A536E9F">
      <w:pPr>
        <w:spacing w:line="360" w:lineRule="exact"/>
      </w:pPr>
    </w:p>
    <w:p w14:paraId="1ADFDF03">
      <w:pPr>
        <w:pStyle w:val="7"/>
        <w:rPr>
          <w:sz w:val="32"/>
        </w:rPr>
      </w:pPr>
      <w:bookmarkStart w:id="404" w:name="_Toc154675168"/>
      <w:r>
        <w:rPr>
          <w:rFonts w:hint="eastAsia"/>
          <w:sz w:val="32"/>
        </w:rPr>
        <w:t>第</w:t>
      </w:r>
      <w:r>
        <w:rPr>
          <w:sz w:val="32"/>
        </w:rPr>
        <w:t>301</w:t>
      </w:r>
      <w:r>
        <w:rPr>
          <w:rFonts w:hint="eastAsia"/>
          <w:sz w:val="32"/>
        </w:rPr>
        <w:t>节</w:t>
      </w:r>
      <w:r>
        <w:rPr>
          <w:sz w:val="32"/>
        </w:rPr>
        <w:t xml:space="preserve">  </w:t>
      </w:r>
      <w:r>
        <w:rPr>
          <w:rFonts w:hint="eastAsia"/>
          <w:sz w:val="32"/>
        </w:rPr>
        <w:t>通</w:t>
      </w:r>
      <w:r>
        <w:rPr>
          <w:sz w:val="32"/>
        </w:rPr>
        <w:t xml:space="preserve"> </w:t>
      </w:r>
      <w:r>
        <w:rPr>
          <w:rFonts w:hint="eastAsia"/>
          <w:sz w:val="32"/>
        </w:rPr>
        <w:t>则</w:t>
      </w:r>
      <w:bookmarkEnd w:id="404"/>
    </w:p>
    <w:p w14:paraId="1087FB43">
      <w:pPr>
        <w:spacing w:line="360" w:lineRule="auto"/>
        <w:rPr>
          <w:rFonts w:eastAsia="黑体"/>
          <w:sz w:val="28"/>
          <w:szCs w:val="28"/>
        </w:rPr>
      </w:pPr>
      <w:r>
        <w:rPr>
          <w:rFonts w:eastAsia="黑体"/>
          <w:sz w:val="28"/>
          <w:szCs w:val="28"/>
        </w:rPr>
        <w:t xml:space="preserve">301.03  </w:t>
      </w:r>
      <w:r>
        <w:rPr>
          <w:rFonts w:hint="eastAsia" w:eastAsia="黑体"/>
          <w:sz w:val="28"/>
          <w:szCs w:val="28"/>
        </w:rPr>
        <w:t>一般要求</w:t>
      </w:r>
    </w:p>
    <w:p w14:paraId="5F0AEC28">
      <w:pPr>
        <w:spacing w:line="360" w:lineRule="auto"/>
        <w:ind w:firstLine="405"/>
      </w:pPr>
      <w:r>
        <w:rPr>
          <w:rFonts w:hint="eastAsia"/>
        </w:rPr>
        <w:t>补充第</w:t>
      </w:r>
      <w:r>
        <w:t>6</w:t>
      </w:r>
      <w:r>
        <w:rPr>
          <w:rFonts w:hint="eastAsia"/>
        </w:rPr>
        <w:t>条：</w:t>
      </w:r>
    </w:p>
    <w:p w14:paraId="36348B02">
      <w:pPr>
        <w:spacing w:line="360" w:lineRule="auto"/>
        <w:ind w:firstLine="405"/>
      </w:pPr>
      <w:r>
        <w:t xml:space="preserve">6. </w:t>
      </w:r>
      <w:r>
        <w:rPr>
          <w:rFonts w:hint="eastAsia"/>
        </w:rPr>
        <w:t>路面施工应符合《浙江省高速公路沥青路面规范化施工指南》要求。</w:t>
      </w:r>
    </w:p>
    <w:p w14:paraId="015D852E">
      <w:pPr>
        <w:spacing w:line="360" w:lineRule="auto"/>
        <w:ind w:firstLine="405"/>
      </w:pPr>
    </w:p>
    <w:p w14:paraId="6E2B57C6">
      <w:pPr>
        <w:spacing w:line="360" w:lineRule="exact"/>
        <w:jc w:val="center"/>
        <w:rPr>
          <w:rFonts w:eastAsia="方正姚体"/>
          <w:sz w:val="32"/>
        </w:rPr>
      </w:pPr>
    </w:p>
    <w:p w14:paraId="1AE2063D">
      <w:pPr>
        <w:spacing w:line="360" w:lineRule="exact"/>
        <w:jc w:val="center"/>
        <w:rPr>
          <w:rFonts w:eastAsia="方正姚体"/>
          <w:sz w:val="32"/>
        </w:rPr>
      </w:pPr>
    </w:p>
    <w:p w14:paraId="76BBA47C">
      <w:pPr>
        <w:pStyle w:val="7"/>
        <w:rPr>
          <w:sz w:val="32"/>
        </w:rPr>
      </w:pPr>
      <w:bookmarkStart w:id="405" w:name="_Toc154675169"/>
      <w:r>
        <w:rPr>
          <w:rFonts w:hint="eastAsia"/>
          <w:sz w:val="32"/>
        </w:rPr>
        <w:t>第</w:t>
      </w:r>
      <w:r>
        <w:rPr>
          <w:sz w:val="32"/>
        </w:rPr>
        <w:t>304</w:t>
      </w:r>
      <w:r>
        <w:rPr>
          <w:rFonts w:hint="eastAsia"/>
          <w:sz w:val="32"/>
        </w:rPr>
        <w:t>节</w:t>
      </w:r>
      <w:r>
        <w:rPr>
          <w:sz w:val="32"/>
        </w:rPr>
        <w:t xml:space="preserve">  </w:t>
      </w:r>
      <w:r>
        <w:rPr>
          <w:rFonts w:hint="eastAsia"/>
          <w:sz w:val="32"/>
        </w:rPr>
        <w:t>水泥稳定土底基层、基层</w:t>
      </w:r>
      <w:bookmarkEnd w:id="405"/>
    </w:p>
    <w:p w14:paraId="63271554">
      <w:pPr>
        <w:spacing w:line="360" w:lineRule="exact"/>
        <w:jc w:val="center"/>
        <w:rPr>
          <w:rFonts w:eastAsia="方正姚体"/>
          <w:sz w:val="32"/>
        </w:rPr>
      </w:pPr>
    </w:p>
    <w:p w14:paraId="1B4BE062">
      <w:pPr>
        <w:spacing w:line="360" w:lineRule="auto"/>
        <w:ind w:firstLine="405"/>
      </w:pPr>
      <w:r>
        <w:rPr>
          <w:rFonts w:hint="eastAsia"/>
        </w:rPr>
        <w:t>删除本节</w:t>
      </w:r>
      <w:r>
        <w:t>304.01</w:t>
      </w:r>
      <w:r>
        <w:rPr>
          <w:rFonts w:hint="eastAsia"/>
        </w:rPr>
        <w:t>～</w:t>
      </w:r>
      <w:r>
        <w:t>304.05</w:t>
      </w:r>
      <w:r>
        <w:rPr>
          <w:rFonts w:hint="eastAsia"/>
        </w:rPr>
        <w:t>小节内容修改为：</w:t>
      </w:r>
    </w:p>
    <w:p w14:paraId="5536F9C7">
      <w:pPr>
        <w:spacing w:line="360" w:lineRule="auto"/>
        <w:ind w:firstLine="405"/>
      </w:pPr>
      <w:r>
        <w:rPr>
          <w:rFonts w:hint="eastAsia"/>
        </w:rPr>
        <w:t>本项目水泥稳定碎石基层及底基层采用振动成型法施工。具体施工按照设计图纸及《公路水泥稳定碎石基层振动成型法施工技术规范》（</w:t>
      </w:r>
      <w:r>
        <w:t>DB 33/T 836-2011</w:t>
      </w:r>
      <w:r>
        <w:rPr>
          <w:rFonts w:hint="eastAsia"/>
        </w:rPr>
        <w:t>）进行施工。</w:t>
      </w:r>
    </w:p>
    <w:p w14:paraId="7889ED62">
      <w:pPr>
        <w:spacing w:line="300" w:lineRule="exact"/>
        <w:ind w:firstLine="544"/>
        <w:rPr>
          <w:rFonts w:eastAsia="黑体"/>
        </w:rPr>
      </w:pPr>
    </w:p>
    <w:p w14:paraId="2E99EA8A">
      <w:pPr>
        <w:spacing w:line="360" w:lineRule="auto"/>
        <w:ind w:firstLine="405"/>
      </w:pPr>
    </w:p>
    <w:p w14:paraId="2CE891DD">
      <w:pPr>
        <w:pStyle w:val="7"/>
        <w:rPr>
          <w:sz w:val="32"/>
        </w:rPr>
      </w:pPr>
      <w:bookmarkStart w:id="406" w:name="_Toc154675170"/>
      <w:r>
        <w:rPr>
          <w:rFonts w:hint="eastAsia"/>
          <w:sz w:val="32"/>
        </w:rPr>
        <w:t>第</w:t>
      </w:r>
      <w:r>
        <w:rPr>
          <w:sz w:val="32"/>
        </w:rPr>
        <w:t>311</w:t>
      </w:r>
      <w:r>
        <w:rPr>
          <w:rFonts w:hint="eastAsia"/>
          <w:sz w:val="32"/>
        </w:rPr>
        <w:t>节</w:t>
      </w:r>
      <w:r>
        <w:rPr>
          <w:sz w:val="32"/>
        </w:rPr>
        <w:t xml:space="preserve">  </w:t>
      </w:r>
      <w:r>
        <w:rPr>
          <w:rFonts w:hint="eastAsia"/>
          <w:sz w:val="32"/>
        </w:rPr>
        <w:t>改性沥青及改性沥青混合料</w:t>
      </w:r>
      <w:bookmarkEnd w:id="406"/>
    </w:p>
    <w:p w14:paraId="04A1023D">
      <w:pPr>
        <w:spacing w:line="360" w:lineRule="auto"/>
        <w:rPr>
          <w:rFonts w:eastAsia="黑体"/>
          <w:sz w:val="28"/>
          <w:szCs w:val="28"/>
        </w:rPr>
      </w:pPr>
      <w:r>
        <w:rPr>
          <w:rFonts w:eastAsia="黑体"/>
          <w:sz w:val="28"/>
          <w:szCs w:val="28"/>
        </w:rPr>
        <w:t xml:space="preserve">311.02  </w:t>
      </w:r>
      <w:r>
        <w:rPr>
          <w:rFonts w:hint="eastAsia" w:eastAsia="黑体"/>
          <w:sz w:val="28"/>
          <w:szCs w:val="28"/>
        </w:rPr>
        <w:t>材料</w:t>
      </w:r>
    </w:p>
    <w:p w14:paraId="69CA3CA2">
      <w:pPr>
        <w:spacing w:line="360" w:lineRule="auto"/>
        <w:ind w:firstLine="405"/>
      </w:pPr>
      <w:r>
        <w:t>3.</w:t>
      </w:r>
      <w:r>
        <w:rPr>
          <w:rFonts w:hint="eastAsia"/>
        </w:rPr>
        <w:t>集料与填料</w:t>
      </w:r>
    </w:p>
    <w:p w14:paraId="718854FE">
      <w:pPr>
        <w:spacing w:line="360" w:lineRule="auto"/>
        <w:ind w:firstLine="405"/>
      </w:pPr>
      <w:r>
        <w:rPr>
          <w:rFonts w:hint="eastAsia"/>
        </w:rPr>
        <w:t>（</w:t>
      </w:r>
      <w:r>
        <w:t>1</w:t>
      </w:r>
      <w:r>
        <w:rPr>
          <w:rFonts w:hint="eastAsia"/>
        </w:rPr>
        <w:t>）粗集料</w:t>
      </w:r>
    </w:p>
    <w:p w14:paraId="216536DD">
      <w:pPr>
        <w:spacing w:line="360" w:lineRule="auto"/>
        <w:ind w:firstLine="405"/>
      </w:pPr>
      <w:r>
        <w:t>b</w:t>
      </w:r>
      <w:r>
        <w:rPr>
          <w:rFonts w:hint="eastAsia"/>
        </w:rPr>
        <w:t>项修改为：</w:t>
      </w:r>
    </w:p>
    <w:p w14:paraId="155BEEAD">
      <w:pPr>
        <w:spacing w:line="360" w:lineRule="auto"/>
        <w:ind w:firstLine="405"/>
      </w:pPr>
      <w:r>
        <w:t>b.</w:t>
      </w:r>
      <w:r>
        <w:rPr>
          <w:rFonts w:hint="eastAsia"/>
        </w:rPr>
        <w:t>粗集料必须采用石质坚硬、洁净、干燥、无风化、无杂质、近正方体、有棱角优质石料颗粒，必须严格限制集料的针片状颗粒含量，并且具有足够的强度，足够的耐磨耗性和抗冲击性。</w:t>
      </w:r>
    </w:p>
    <w:p w14:paraId="6FA21119">
      <w:pPr>
        <w:spacing w:line="360" w:lineRule="auto"/>
        <w:ind w:firstLine="405"/>
      </w:pPr>
      <w:r>
        <w:rPr>
          <w:rFonts w:hint="eastAsia"/>
        </w:rPr>
        <w:t>（</w:t>
      </w:r>
      <w:r>
        <w:t>2</w:t>
      </w:r>
      <w:r>
        <w:rPr>
          <w:rFonts w:hint="eastAsia"/>
        </w:rPr>
        <w:t>）细集料</w:t>
      </w:r>
    </w:p>
    <w:p w14:paraId="07034ECA">
      <w:pPr>
        <w:spacing w:line="360" w:lineRule="auto"/>
        <w:ind w:firstLine="405"/>
      </w:pPr>
      <w:r>
        <w:t>a</w:t>
      </w:r>
      <w:r>
        <w:rPr>
          <w:rFonts w:hint="eastAsia"/>
        </w:rPr>
        <w:t>项修改为：</w:t>
      </w:r>
    </w:p>
    <w:p w14:paraId="2FA081DD">
      <w:pPr>
        <w:spacing w:line="360" w:lineRule="auto"/>
        <w:ind w:firstLine="405"/>
      </w:pPr>
      <w:r>
        <w:t>a.</w:t>
      </w:r>
      <w:r>
        <w:rPr>
          <w:rFonts w:hint="eastAsia"/>
        </w:rPr>
        <w:t>沥青面层细集料采用坚硬、洁净、干燥、无风化、无杂质并有适当级配的人工轧制的细集料，不能采用石屑。其规格和质量要求，均应符合《公路沥青路面施工技术规范》（</w:t>
      </w:r>
      <w:r>
        <w:t>JTG F40-2004</w:t>
      </w:r>
      <w:r>
        <w:rPr>
          <w:rFonts w:hint="eastAsia"/>
        </w:rPr>
        <w:t>）第</w:t>
      </w:r>
      <w:r>
        <w:t>4.9</w:t>
      </w:r>
      <w:r>
        <w:rPr>
          <w:rFonts w:hint="eastAsia"/>
        </w:rPr>
        <w:t>节的有关规定。</w:t>
      </w:r>
    </w:p>
    <w:p w14:paraId="1DACBCE8">
      <w:pPr>
        <w:spacing w:line="360" w:lineRule="auto"/>
        <w:ind w:firstLine="405"/>
      </w:pPr>
      <w:r>
        <w:rPr>
          <w:rFonts w:hint="eastAsia"/>
        </w:rPr>
        <w:t>（</w:t>
      </w:r>
      <w:r>
        <w:t>3</w:t>
      </w:r>
      <w:r>
        <w:rPr>
          <w:rFonts w:hint="eastAsia"/>
        </w:rPr>
        <w:t>）填料</w:t>
      </w:r>
    </w:p>
    <w:p w14:paraId="48407851">
      <w:pPr>
        <w:spacing w:line="360" w:lineRule="auto"/>
        <w:ind w:firstLine="405"/>
      </w:pPr>
      <w:r>
        <w:rPr>
          <w:rFonts w:hint="eastAsia"/>
        </w:rPr>
        <w:t>补充</w:t>
      </w:r>
      <w:r>
        <w:t>c</w:t>
      </w:r>
      <w:r>
        <w:rPr>
          <w:rFonts w:hint="eastAsia"/>
        </w:rPr>
        <w:t>项：</w:t>
      </w:r>
    </w:p>
    <w:p w14:paraId="738D3AD9">
      <w:pPr>
        <w:spacing w:line="360" w:lineRule="auto"/>
        <w:ind w:firstLine="405"/>
      </w:pPr>
      <w:r>
        <w:t>c.</w:t>
      </w:r>
      <w:r>
        <w:rPr>
          <w:rFonts w:hint="eastAsia"/>
        </w:rPr>
        <w:t>拌和楼回收的粉料不得用于拌制沥青混合料，以确保沥青面层的质量。</w:t>
      </w:r>
    </w:p>
    <w:p w14:paraId="215B44B0">
      <w:pPr>
        <w:spacing w:line="360" w:lineRule="auto"/>
        <w:ind w:firstLine="405"/>
      </w:pPr>
    </w:p>
    <w:p w14:paraId="493585D8">
      <w:pPr>
        <w:pStyle w:val="7"/>
        <w:rPr>
          <w:sz w:val="32"/>
        </w:rPr>
      </w:pPr>
      <w:bookmarkStart w:id="407" w:name="_Toc154675171"/>
      <w:r>
        <w:rPr>
          <w:rFonts w:hint="eastAsia"/>
          <w:sz w:val="32"/>
        </w:rPr>
        <w:t>第</w:t>
      </w:r>
      <w:r>
        <w:rPr>
          <w:sz w:val="32"/>
        </w:rPr>
        <w:t>314</w:t>
      </w:r>
      <w:r>
        <w:rPr>
          <w:rFonts w:hint="eastAsia"/>
          <w:sz w:val="32"/>
        </w:rPr>
        <w:t>节</w:t>
      </w:r>
      <w:r>
        <w:rPr>
          <w:sz w:val="32"/>
        </w:rPr>
        <w:t xml:space="preserve">  </w:t>
      </w:r>
      <w:r>
        <w:rPr>
          <w:rFonts w:hint="eastAsia"/>
          <w:sz w:val="32"/>
        </w:rPr>
        <w:t>路面及中央分隔带排水</w:t>
      </w:r>
      <w:bookmarkEnd w:id="407"/>
    </w:p>
    <w:p w14:paraId="47E5996F">
      <w:pPr>
        <w:spacing w:line="360" w:lineRule="auto"/>
        <w:rPr>
          <w:rFonts w:eastAsia="黑体"/>
          <w:sz w:val="28"/>
          <w:szCs w:val="28"/>
        </w:rPr>
      </w:pPr>
      <w:r>
        <w:rPr>
          <w:rFonts w:eastAsia="黑体"/>
          <w:sz w:val="28"/>
          <w:szCs w:val="28"/>
        </w:rPr>
        <w:t xml:space="preserve">314.03  </w:t>
      </w:r>
      <w:r>
        <w:rPr>
          <w:rFonts w:hint="eastAsia" w:eastAsia="黑体"/>
          <w:sz w:val="28"/>
          <w:szCs w:val="28"/>
        </w:rPr>
        <w:t>施工要求</w:t>
      </w:r>
    </w:p>
    <w:p w14:paraId="24592338">
      <w:pPr>
        <w:spacing w:line="360" w:lineRule="auto"/>
        <w:ind w:firstLine="405"/>
      </w:pPr>
      <w:r>
        <w:rPr>
          <w:rFonts w:hint="eastAsia"/>
        </w:rPr>
        <w:t>补充第</w:t>
      </w:r>
      <w:r>
        <w:t>7</w:t>
      </w:r>
      <w:r>
        <w:rPr>
          <w:rFonts w:hint="eastAsia"/>
        </w:rPr>
        <w:t>、</w:t>
      </w:r>
      <w:r>
        <w:t>8</w:t>
      </w:r>
      <w:r>
        <w:rPr>
          <w:rFonts w:hint="eastAsia"/>
        </w:rPr>
        <w:t>条：</w:t>
      </w:r>
    </w:p>
    <w:p w14:paraId="273F53F5">
      <w:pPr>
        <w:spacing w:line="360" w:lineRule="auto"/>
        <w:ind w:firstLine="405"/>
      </w:pPr>
      <w:r>
        <w:t>7.</w:t>
      </w:r>
      <w:r>
        <w:rPr>
          <w:rFonts w:hint="eastAsia"/>
        </w:rPr>
        <w:t>路面排水设施施工的原材料、模板要求和工作程序还应按《浙江省高速公路沥青路面规范化施工指南》有关规定进行。</w:t>
      </w:r>
    </w:p>
    <w:p w14:paraId="4FF5B67F">
      <w:pPr>
        <w:spacing w:line="360" w:lineRule="auto"/>
        <w:ind w:firstLine="405"/>
      </w:pPr>
      <w:r>
        <w:t>8</w:t>
      </w:r>
      <w:r>
        <w:rPr>
          <w:rFonts w:hint="eastAsia"/>
        </w:rPr>
        <w:t>．施工现场管理</w:t>
      </w:r>
    </w:p>
    <w:p w14:paraId="1D7D7BC6">
      <w:pPr>
        <w:spacing w:line="360" w:lineRule="auto"/>
        <w:ind w:firstLine="405"/>
      </w:pPr>
      <w:r>
        <w:rPr>
          <w:rFonts w:hint="eastAsia"/>
        </w:rPr>
        <w:t>（</w:t>
      </w:r>
      <w:r>
        <w:t>1</w:t>
      </w:r>
      <w:r>
        <w:rPr>
          <w:rFonts w:hint="eastAsia"/>
        </w:rPr>
        <w:t>）严格遵守机械安全操作规程，在挖掘过程中禁止人员靠近挖掘半径，工人必须戴好安全帽，辅助做好清理及整平工作。</w:t>
      </w:r>
    </w:p>
    <w:p w14:paraId="21CC69D2">
      <w:pPr>
        <w:spacing w:line="360" w:lineRule="auto"/>
        <w:ind w:firstLine="405"/>
      </w:pPr>
      <w:r>
        <w:rPr>
          <w:rFonts w:hint="eastAsia"/>
        </w:rPr>
        <w:t>（</w:t>
      </w:r>
      <w:r>
        <w:t>2</w:t>
      </w:r>
      <w:r>
        <w:rPr>
          <w:rFonts w:hint="eastAsia"/>
        </w:rPr>
        <w:t>）开挖完毕后，在所开挖范围设醒目的危险标志标牌，禁止人员、机械进入。</w:t>
      </w:r>
    </w:p>
    <w:p w14:paraId="77A9B0CD">
      <w:pPr>
        <w:spacing w:line="360" w:lineRule="auto"/>
        <w:ind w:firstLine="405"/>
      </w:pPr>
      <w:r>
        <w:rPr>
          <w:rFonts w:hint="eastAsia"/>
        </w:rPr>
        <w:t>（</w:t>
      </w:r>
      <w:r>
        <w:t>3</w:t>
      </w:r>
      <w:r>
        <w:rPr>
          <w:rFonts w:hint="eastAsia"/>
        </w:rPr>
        <w:t>）养生期间，始终保持混凝土充分湿润，养生期至少</w:t>
      </w:r>
      <w:r>
        <w:t>7</w:t>
      </w:r>
      <w:r>
        <w:rPr>
          <w:rFonts w:hint="eastAsia"/>
        </w:rPr>
        <w:t>天，严禁他物撞击、破坏。</w:t>
      </w:r>
    </w:p>
    <w:p w14:paraId="6C3221E2">
      <w:pPr>
        <w:jc w:val="left"/>
        <w:outlineLvl w:val="9"/>
      </w:pPr>
      <w:r>
        <w:br w:type="page"/>
      </w:r>
      <w:bookmarkStart w:id="408" w:name="_Toc484679342"/>
    </w:p>
    <w:p w14:paraId="4A05A65B">
      <w:pPr>
        <w:tabs>
          <w:tab w:val="left" w:pos="3120"/>
        </w:tabs>
        <w:jc w:val="center"/>
        <w:outlineLvl w:val="2"/>
        <w:rPr>
          <w:rFonts w:eastAsia="黑体"/>
          <w:sz w:val="44"/>
        </w:rPr>
      </w:pPr>
      <w:bookmarkStart w:id="409" w:name="_Toc31643"/>
      <w:bookmarkStart w:id="410" w:name="_Toc154675172"/>
      <w:r>
        <w:rPr>
          <w:rFonts w:hint="eastAsia" w:eastAsia="黑体"/>
          <w:sz w:val="44"/>
        </w:rPr>
        <w:t>第</w:t>
      </w:r>
      <w:r>
        <w:rPr>
          <w:rFonts w:eastAsia="黑体"/>
          <w:sz w:val="44"/>
        </w:rPr>
        <w:t>400</w:t>
      </w:r>
      <w:r>
        <w:rPr>
          <w:rFonts w:hint="eastAsia" w:eastAsia="黑体"/>
          <w:sz w:val="44"/>
        </w:rPr>
        <w:t>章</w:t>
      </w:r>
      <w:r>
        <w:rPr>
          <w:rFonts w:eastAsia="黑体"/>
          <w:sz w:val="44"/>
        </w:rPr>
        <w:t xml:space="preserve">  </w:t>
      </w:r>
      <w:r>
        <w:rPr>
          <w:rFonts w:hint="eastAsia" w:eastAsia="黑体"/>
          <w:sz w:val="44"/>
        </w:rPr>
        <w:t>桥梁、涵洞</w:t>
      </w:r>
      <w:bookmarkEnd w:id="408"/>
      <w:bookmarkEnd w:id="409"/>
      <w:bookmarkEnd w:id="410"/>
    </w:p>
    <w:p w14:paraId="360C45C0">
      <w:pPr>
        <w:spacing w:line="360" w:lineRule="auto"/>
        <w:ind w:firstLine="403"/>
      </w:pPr>
    </w:p>
    <w:p w14:paraId="1E308FD9">
      <w:pPr>
        <w:pStyle w:val="7"/>
        <w:rPr>
          <w:sz w:val="32"/>
        </w:rPr>
      </w:pPr>
      <w:bookmarkStart w:id="411" w:name="_Toc154675173"/>
      <w:r>
        <w:rPr>
          <w:rFonts w:hint="eastAsia"/>
          <w:sz w:val="32"/>
        </w:rPr>
        <w:t>第</w:t>
      </w:r>
      <w:r>
        <w:rPr>
          <w:sz w:val="32"/>
        </w:rPr>
        <w:t>401</w:t>
      </w:r>
      <w:r>
        <w:rPr>
          <w:rFonts w:hint="eastAsia"/>
          <w:sz w:val="32"/>
        </w:rPr>
        <w:t>节</w:t>
      </w:r>
      <w:r>
        <w:rPr>
          <w:sz w:val="32"/>
        </w:rPr>
        <w:t xml:space="preserve">  </w:t>
      </w:r>
      <w:r>
        <w:rPr>
          <w:rFonts w:hint="eastAsia"/>
          <w:sz w:val="32"/>
        </w:rPr>
        <w:t>通</w:t>
      </w:r>
      <w:r>
        <w:rPr>
          <w:sz w:val="32"/>
        </w:rPr>
        <w:t xml:space="preserve"> </w:t>
      </w:r>
      <w:r>
        <w:rPr>
          <w:rFonts w:hint="eastAsia"/>
          <w:sz w:val="32"/>
        </w:rPr>
        <w:t>则</w:t>
      </w:r>
      <w:bookmarkEnd w:id="411"/>
    </w:p>
    <w:p w14:paraId="04678B1D">
      <w:pPr>
        <w:spacing w:line="360" w:lineRule="auto"/>
        <w:rPr>
          <w:rFonts w:eastAsia="黑体"/>
          <w:sz w:val="28"/>
          <w:szCs w:val="28"/>
        </w:rPr>
      </w:pPr>
      <w:r>
        <w:rPr>
          <w:rFonts w:eastAsia="黑体"/>
          <w:sz w:val="28"/>
          <w:szCs w:val="28"/>
        </w:rPr>
        <w:t xml:space="preserve">401.02  </w:t>
      </w:r>
      <w:r>
        <w:rPr>
          <w:rFonts w:hint="eastAsia" w:eastAsia="黑体"/>
          <w:sz w:val="28"/>
          <w:szCs w:val="28"/>
        </w:rPr>
        <w:t>一般要求</w:t>
      </w:r>
    </w:p>
    <w:p w14:paraId="61F068F4">
      <w:pPr>
        <w:spacing w:line="360" w:lineRule="auto"/>
        <w:ind w:firstLine="403"/>
      </w:pPr>
      <w:r>
        <w:t>1.</w:t>
      </w:r>
      <w:r>
        <w:rPr>
          <w:rFonts w:hint="eastAsia"/>
        </w:rPr>
        <w:t>核对图纸和补充调查</w:t>
      </w:r>
    </w:p>
    <w:p w14:paraId="1C3733BA">
      <w:pPr>
        <w:spacing w:line="360" w:lineRule="auto"/>
        <w:ind w:firstLine="403"/>
      </w:pPr>
      <w:r>
        <w:rPr>
          <w:rFonts w:hint="eastAsia"/>
        </w:rPr>
        <w:t>在本条后补充：</w:t>
      </w:r>
    </w:p>
    <w:p w14:paraId="210440CA">
      <w:pPr>
        <w:spacing w:line="360" w:lineRule="auto"/>
        <w:ind w:firstLine="403"/>
      </w:pPr>
      <w:r>
        <w:rPr>
          <w:rFonts w:hint="eastAsia"/>
        </w:rPr>
        <w:t>承包人对图纸中提供的桩位坐标必须放样核对，并交监理人确认、核查无误后方可开工。承包人对图纸中有关墩台顶标高、支座标高、箱梁标高、梁板几何尺寸、预埋件等需核查确认后，方可立模绑扎钢筋，浇筑构件混凝土。因承包人原因造成的漏设或未按图纸预埋，造成的返工费用，由承包人承担。</w:t>
      </w:r>
    </w:p>
    <w:p w14:paraId="0E6EB2CE">
      <w:pPr>
        <w:spacing w:line="360" w:lineRule="auto"/>
        <w:ind w:firstLine="403"/>
      </w:pPr>
      <w:r>
        <w:t>3</w:t>
      </w:r>
      <w:r>
        <w:rPr>
          <w:rFonts w:hint="eastAsia"/>
        </w:rPr>
        <w:t>．复测</w:t>
      </w:r>
    </w:p>
    <w:p w14:paraId="08B83A1B">
      <w:pPr>
        <w:spacing w:line="360" w:lineRule="auto"/>
        <w:ind w:firstLine="403"/>
      </w:pPr>
      <w:r>
        <w:rPr>
          <w:rFonts w:hint="eastAsia"/>
        </w:rPr>
        <w:t>删除本条，修改为：</w:t>
      </w:r>
    </w:p>
    <w:p w14:paraId="63DAF9CC">
      <w:pPr>
        <w:spacing w:line="360" w:lineRule="auto"/>
        <w:ind w:firstLine="403"/>
      </w:pPr>
      <w:r>
        <w:rPr>
          <w:rFonts w:hint="eastAsia"/>
        </w:rPr>
        <w:t>（</w:t>
      </w:r>
      <w:r>
        <w:t>1</w:t>
      </w:r>
      <w:r>
        <w:rPr>
          <w:rFonts w:hint="eastAsia"/>
        </w:rPr>
        <w:t>）承包人应在开工前对桥梁中心位置桩、三角网基点桩、水准基点桩及其他测量资料进行核对、复测。若桩志不足或不符合要求时，应按《公路桥涵施工技术规范》（</w:t>
      </w:r>
      <w:r>
        <w:t>JTG/T3650-2020</w:t>
      </w:r>
      <w:r>
        <w:rPr>
          <w:rFonts w:hint="eastAsia"/>
        </w:rPr>
        <w:t>）第</w:t>
      </w:r>
      <w:r>
        <w:t>3</w:t>
      </w:r>
      <w:r>
        <w:rPr>
          <w:rFonts w:hint="eastAsia"/>
        </w:rPr>
        <w:t>章</w:t>
      </w:r>
      <w:r>
        <w:t>“</w:t>
      </w:r>
      <w:r>
        <w:rPr>
          <w:rFonts w:hint="eastAsia"/>
        </w:rPr>
        <w:t>施工准备和施工测量</w:t>
      </w:r>
      <w:r>
        <w:t>”</w:t>
      </w:r>
      <w:r>
        <w:rPr>
          <w:rFonts w:hint="eastAsia"/>
        </w:rPr>
        <w:t>有关要求重新补测，并将复测或补测结果报监理人认可。在合同工程的整个施工期间，承包人应对测量基准点进行妥善保护，并根据需要对控制网进行加密，直至工程竣工验收。</w:t>
      </w:r>
    </w:p>
    <w:p w14:paraId="416DA7A3">
      <w:pPr>
        <w:spacing w:line="360" w:lineRule="auto"/>
        <w:ind w:firstLine="403"/>
      </w:pPr>
      <w:r>
        <w:rPr>
          <w:rFonts w:hint="eastAsia"/>
        </w:rPr>
        <w:t>（</w:t>
      </w:r>
      <w:r>
        <w:t>2</w:t>
      </w:r>
      <w:r>
        <w:rPr>
          <w:rFonts w:hint="eastAsia"/>
        </w:rPr>
        <w:t>）平面控制网宜采用</w:t>
      </w:r>
      <w:r>
        <w:t>GPS</w:t>
      </w:r>
      <w:r>
        <w:rPr>
          <w:rFonts w:hint="eastAsia"/>
        </w:rPr>
        <w:t>测量与</w:t>
      </w:r>
      <w:r>
        <w:t>RTK</w:t>
      </w:r>
      <w:r>
        <w:rPr>
          <w:rFonts w:hint="eastAsia"/>
        </w:rPr>
        <w:t>技术相结合作业模式，并采用三角测量检测</w:t>
      </w:r>
      <w:r>
        <w:t>GPS</w:t>
      </w:r>
      <w:r>
        <w:rPr>
          <w:rFonts w:hint="eastAsia"/>
        </w:rPr>
        <w:t>的定位结果。测量等级应采用《公路桥涵施工技术规范》（</w:t>
      </w:r>
      <w:r>
        <w:t xml:space="preserve">JGT/T3650-2020 </w:t>
      </w:r>
      <w:r>
        <w:rPr>
          <w:rFonts w:hint="eastAsia"/>
        </w:rPr>
        <w:t>）中表</w:t>
      </w:r>
      <w:r>
        <w:t xml:space="preserve"> 3.2.5-1.3.2.5-2 </w:t>
      </w:r>
      <w:r>
        <w:rPr>
          <w:rFonts w:hint="eastAsia"/>
        </w:rPr>
        <w:t>及表</w:t>
      </w:r>
      <w:r>
        <w:t>3.2.5.5</w:t>
      </w:r>
      <w:r>
        <w:rPr>
          <w:rFonts w:hint="eastAsia"/>
        </w:rPr>
        <w:t>中规定的最高等级，并符合相应技术指标要求。</w:t>
      </w:r>
    </w:p>
    <w:p w14:paraId="6D848B2F">
      <w:pPr>
        <w:spacing w:line="360" w:lineRule="auto"/>
        <w:ind w:firstLine="403"/>
      </w:pPr>
      <w:r>
        <w:rPr>
          <w:rFonts w:hint="eastAsia"/>
        </w:rPr>
        <w:t>（</w:t>
      </w:r>
      <w:r>
        <w:t>3</w:t>
      </w:r>
      <w:r>
        <w:rPr>
          <w:rFonts w:hint="eastAsia"/>
        </w:rPr>
        <w:t>）高程控制水准测量等级及相应的主要技术要求应符合《公路桥涵施工技术规范》（</w:t>
      </w:r>
      <w:r>
        <w:t>JTG/T3650-2020</w:t>
      </w:r>
      <w:r>
        <w:rPr>
          <w:rFonts w:hint="eastAsia"/>
        </w:rPr>
        <w:t>）第</w:t>
      </w:r>
      <w:r>
        <w:t>3.2.6</w:t>
      </w:r>
      <w:r>
        <w:rPr>
          <w:rFonts w:hint="eastAsia"/>
        </w:rPr>
        <w:t>条的有关规定。</w:t>
      </w:r>
    </w:p>
    <w:p w14:paraId="258A2359">
      <w:pPr>
        <w:spacing w:line="360" w:lineRule="auto"/>
        <w:ind w:firstLine="403"/>
      </w:pPr>
      <w:r>
        <w:rPr>
          <w:rFonts w:hint="eastAsia"/>
        </w:rPr>
        <w:t>（</w:t>
      </w:r>
      <w:r>
        <w:t>4</w:t>
      </w:r>
      <w:r>
        <w:rPr>
          <w:rFonts w:hint="eastAsia"/>
        </w:rPr>
        <w:t>）施工过程中对结构的变形过程进行随时监测和记录，做到测量成果具有可追溯性，原始记录本分类归档保存，测量成果及时报告给监理人。</w:t>
      </w:r>
    </w:p>
    <w:p w14:paraId="36D62551">
      <w:pPr>
        <w:spacing w:line="360" w:lineRule="auto"/>
        <w:ind w:firstLine="403"/>
      </w:pPr>
      <w:r>
        <w:rPr>
          <w:rFonts w:hint="eastAsia"/>
        </w:rPr>
        <w:t>（</w:t>
      </w:r>
      <w:r>
        <w:t>5</w:t>
      </w:r>
      <w:r>
        <w:rPr>
          <w:rFonts w:hint="eastAsia"/>
        </w:rPr>
        <w:t>）承包人应对桥梁中心位置桩、三角网基点桩、水准基点桩等控制标志加以妥善保护，直至工程竣工验收。</w:t>
      </w:r>
    </w:p>
    <w:p w14:paraId="5BBF8CBE">
      <w:pPr>
        <w:spacing w:line="360" w:lineRule="auto"/>
        <w:ind w:firstLine="403"/>
      </w:pPr>
      <w:r>
        <w:rPr>
          <w:rFonts w:hint="eastAsia"/>
        </w:rPr>
        <w:t>（</w:t>
      </w:r>
      <w:r>
        <w:t>6</w:t>
      </w:r>
      <w:r>
        <w:rPr>
          <w:rFonts w:hint="eastAsia"/>
        </w:rPr>
        <w:t>）承包人的测量仪器、设备、组织程序和测量方法等应满足施工控制的要求。</w:t>
      </w:r>
    </w:p>
    <w:p w14:paraId="42F3F5E4">
      <w:pPr>
        <w:tabs>
          <w:tab w:val="left" w:pos="3120"/>
        </w:tabs>
        <w:spacing w:line="360" w:lineRule="auto"/>
        <w:ind w:firstLine="397"/>
      </w:pPr>
      <w:r>
        <w:t>8</w:t>
      </w:r>
      <w:r>
        <w:rPr>
          <w:rFonts w:hint="eastAsia"/>
        </w:rPr>
        <w:t>．安全技术措施</w:t>
      </w:r>
    </w:p>
    <w:p w14:paraId="4BA2C310">
      <w:pPr>
        <w:tabs>
          <w:tab w:val="left" w:pos="3120"/>
        </w:tabs>
        <w:spacing w:line="360" w:lineRule="auto"/>
        <w:ind w:firstLine="397"/>
      </w:pPr>
      <w:r>
        <w:rPr>
          <w:rFonts w:hint="eastAsia"/>
        </w:rPr>
        <w:t>第（</w:t>
      </w:r>
      <w:r>
        <w:t>1</w:t>
      </w:r>
      <w:r>
        <w:rPr>
          <w:rFonts w:hint="eastAsia"/>
        </w:rPr>
        <w:t>）款修改为：</w:t>
      </w:r>
    </w:p>
    <w:p w14:paraId="363472B5">
      <w:pPr>
        <w:tabs>
          <w:tab w:val="left" w:pos="3120"/>
        </w:tabs>
        <w:spacing w:line="360" w:lineRule="auto"/>
        <w:ind w:firstLine="397"/>
      </w:pPr>
      <w:r>
        <w:rPr>
          <w:rFonts w:hint="eastAsia"/>
        </w:rPr>
        <w:t>（</w:t>
      </w:r>
      <w:r>
        <w:t>1</w:t>
      </w:r>
      <w:r>
        <w:rPr>
          <w:rFonts w:hint="eastAsia"/>
        </w:rPr>
        <w:t>）</w:t>
      </w:r>
      <w:r>
        <w:t xml:space="preserve"> </w:t>
      </w:r>
      <w:r>
        <w:rPr>
          <w:rFonts w:hint="eastAsia"/>
        </w:rPr>
        <w:t>承包人施工大型临时工程、机械设备等均应满足</w:t>
      </w:r>
      <w:r>
        <w:t>30</w:t>
      </w:r>
      <w:r>
        <w:rPr>
          <w:rFonts w:hint="eastAsia"/>
        </w:rPr>
        <w:t>年一遇气象条件和</w:t>
      </w:r>
      <w:r>
        <w:t>20</w:t>
      </w:r>
      <w:r>
        <w:rPr>
          <w:rFonts w:hint="eastAsia"/>
        </w:rPr>
        <w:t>年一遇水文条件的安全要求，桥梁施工前，应对施工现场、机具设备及安全防护设施等进行全面检查，建立安全管理台账，并经有关部门检查认证，确认符合安全要求后方可施工。承包人在施工全过程中应始终认真贯彻执行《建设工程安全生产管理条例》的规定。</w:t>
      </w:r>
    </w:p>
    <w:p w14:paraId="1DE01DE0">
      <w:pPr>
        <w:tabs>
          <w:tab w:val="left" w:pos="3120"/>
        </w:tabs>
        <w:spacing w:line="360" w:lineRule="auto"/>
        <w:ind w:firstLine="397"/>
      </w:pPr>
      <w:r>
        <w:rPr>
          <w:rFonts w:hint="eastAsia"/>
        </w:rPr>
        <w:t>补充（</w:t>
      </w:r>
      <w:r>
        <w:t>8</w:t>
      </w:r>
      <w:r>
        <w:rPr>
          <w:rFonts w:hint="eastAsia"/>
        </w:rPr>
        <w:t>）、（</w:t>
      </w:r>
      <w:r>
        <w:t>9</w:t>
      </w:r>
      <w:r>
        <w:rPr>
          <w:rFonts w:hint="eastAsia"/>
        </w:rPr>
        <w:t>）、（</w:t>
      </w:r>
      <w:r>
        <w:t>10</w:t>
      </w:r>
      <w:r>
        <w:rPr>
          <w:rFonts w:hint="eastAsia"/>
        </w:rPr>
        <w:t>）款：</w:t>
      </w:r>
    </w:p>
    <w:p w14:paraId="07C0CC3F">
      <w:pPr>
        <w:tabs>
          <w:tab w:val="left" w:pos="3120"/>
        </w:tabs>
        <w:spacing w:line="360" w:lineRule="auto"/>
        <w:ind w:firstLine="397"/>
      </w:pPr>
      <w:r>
        <w:rPr>
          <w:rFonts w:hint="eastAsia"/>
        </w:rPr>
        <w:t>（</w:t>
      </w:r>
      <w:r>
        <w:t>8</w:t>
      </w:r>
      <w:r>
        <w:rPr>
          <w:rFonts w:hint="eastAsia"/>
        </w:rPr>
        <w:t>）在桥梁基础施工前，承包人应结合设计阶段管线调查资料，进一步做好管线调查、探查工作，在施工阶段进一步做好对跨越管线施工的专项论证，落实做好对管线的安全防护工作，确保各种管线安全。施工过程中新的公共设施管线和其他物品等一经发现，立即停止施工。承包人负责做好现场管线探明及现场保护、标识工作。处置方案未明确前不得施工。</w:t>
      </w:r>
    </w:p>
    <w:p w14:paraId="09E7093F">
      <w:pPr>
        <w:tabs>
          <w:tab w:val="left" w:pos="3120"/>
        </w:tabs>
        <w:spacing w:line="360" w:lineRule="auto"/>
        <w:ind w:firstLine="397"/>
      </w:pPr>
      <w:r>
        <w:rPr>
          <w:rFonts w:hint="eastAsia"/>
        </w:rPr>
        <w:t>（</w:t>
      </w:r>
      <w:r>
        <w:t>9</w:t>
      </w:r>
      <w:r>
        <w:rPr>
          <w:rFonts w:hint="eastAsia"/>
        </w:rPr>
        <w:t>）临近公路、堤坝、管道及其他构筑物的施工，承包人应根据相关行业标准采取安全防护措施，编制专项施工方案，提交监理人审查，并取得相关部门施工许可。</w:t>
      </w:r>
    </w:p>
    <w:p w14:paraId="42E8A171">
      <w:pPr>
        <w:tabs>
          <w:tab w:val="left" w:pos="3120"/>
        </w:tabs>
        <w:spacing w:line="360" w:lineRule="auto"/>
        <w:ind w:firstLine="397"/>
      </w:pPr>
      <w:r>
        <w:rPr>
          <w:rFonts w:hint="eastAsia"/>
        </w:rPr>
        <w:t>（</w:t>
      </w:r>
      <w:r>
        <w:t>10</w:t>
      </w:r>
      <w:r>
        <w:rPr>
          <w:rFonts w:hint="eastAsia"/>
        </w:rPr>
        <w:t>）场地恢复</w:t>
      </w:r>
    </w:p>
    <w:p w14:paraId="66688326">
      <w:pPr>
        <w:tabs>
          <w:tab w:val="left" w:pos="3120"/>
        </w:tabs>
        <w:spacing w:line="360" w:lineRule="auto"/>
        <w:ind w:firstLine="397"/>
      </w:pPr>
      <w:r>
        <w:rPr>
          <w:rFonts w:hint="eastAsia"/>
        </w:rPr>
        <w:t>桥下场地在下部结构等各工序施工结束后应及时进行整平恢复。</w:t>
      </w:r>
    </w:p>
    <w:p w14:paraId="5466B3FE">
      <w:pPr>
        <w:tabs>
          <w:tab w:val="left" w:pos="3120"/>
        </w:tabs>
        <w:spacing w:line="360" w:lineRule="auto"/>
        <w:ind w:firstLine="397"/>
      </w:pPr>
      <w:r>
        <w:rPr>
          <w:rFonts w:hint="eastAsia"/>
        </w:rPr>
        <w:t>补充第</w:t>
      </w:r>
      <w:r>
        <w:t>9</w:t>
      </w:r>
      <w:r>
        <w:rPr>
          <w:rFonts w:hint="eastAsia"/>
        </w:rPr>
        <w:t>、</w:t>
      </w:r>
      <w:r>
        <w:t>10</w:t>
      </w:r>
      <w:r>
        <w:rPr>
          <w:rFonts w:hint="eastAsia"/>
        </w:rPr>
        <w:t>、</w:t>
      </w:r>
      <w:r>
        <w:t>11</w:t>
      </w:r>
      <w:r>
        <w:rPr>
          <w:rFonts w:hint="eastAsia"/>
        </w:rPr>
        <w:t>、</w:t>
      </w:r>
      <w:r>
        <w:t>12</w:t>
      </w:r>
      <w:r>
        <w:rPr>
          <w:rFonts w:hint="eastAsia"/>
        </w:rPr>
        <w:t>条：</w:t>
      </w:r>
    </w:p>
    <w:p w14:paraId="459F6309">
      <w:pPr>
        <w:tabs>
          <w:tab w:val="left" w:pos="3120"/>
        </w:tabs>
        <w:spacing w:line="360" w:lineRule="auto"/>
        <w:ind w:firstLine="397"/>
      </w:pPr>
      <w:r>
        <w:t>9</w:t>
      </w:r>
      <w:r>
        <w:rPr>
          <w:rFonts w:hint="eastAsia"/>
        </w:rPr>
        <w:t>．环保要求</w:t>
      </w:r>
    </w:p>
    <w:p w14:paraId="66953DC9">
      <w:pPr>
        <w:tabs>
          <w:tab w:val="left" w:pos="3120"/>
        </w:tabs>
        <w:spacing w:line="360" w:lineRule="auto"/>
        <w:ind w:firstLine="397"/>
      </w:pPr>
      <w:r>
        <w:rPr>
          <w:rFonts w:hint="eastAsia"/>
        </w:rPr>
        <w:t>在桥梁施工期间，应严格执行本技术规范</w:t>
      </w:r>
      <w:r>
        <w:t>102.11</w:t>
      </w:r>
      <w:r>
        <w:rPr>
          <w:rFonts w:hint="eastAsia"/>
        </w:rPr>
        <w:t>有关环境保护的要求。为防止本公路在施工期和营运期对当地水质造成不良影响，应根据当地及相关部门要求，从技术角度提出和做好相关工程的水污染防治措施，将本工程对当地水质的影响降到最低。</w:t>
      </w:r>
    </w:p>
    <w:p w14:paraId="73C4D6ED">
      <w:pPr>
        <w:tabs>
          <w:tab w:val="left" w:pos="3120"/>
        </w:tabs>
        <w:spacing w:line="360" w:lineRule="auto"/>
        <w:ind w:firstLine="397"/>
      </w:pPr>
      <w:r>
        <w:rPr>
          <w:rFonts w:hint="eastAsia"/>
        </w:rPr>
        <w:t>（</w:t>
      </w:r>
      <w:r>
        <w:t>1</w:t>
      </w:r>
      <w:r>
        <w:rPr>
          <w:rFonts w:hint="eastAsia"/>
        </w:rPr>
        <w:t>）施工人员生活污水</w:t>
      </w:r>
    </w:p>
    <w:p w14:paraId="3FA1167D">
      <w:pPr>
        <w:tabs>
          <w:tab w:val="left" w:pos="3120"/>
        </w:tabs>
        <w:spacing w:line="360" w:lineRule="auto"/>
        <w:ind w:firstLine="397"/>
      </w:pPr>
      <w:r>
        <w:rPr>
          <w:rFonts w:hint="eastAsia"/>
        </w:rPr>
        <w:t>施工营地应集中合理布置，施工人员的临时居住地生活污水需进行集中收集处理，并委托当地环卫部门进行定期清运。对施工人员应加强管理和环保意识教育，对生活垃圾不准随意抛弃，应集中收集并外运处置。</w:t>
      </w:r>
    </w:p>
    <w:p w14:paraId="602442AC">
      <w:pPr>
        <w:tabs>
          <w:tab w:val="left" w:pos="3120"/>
        </w:tabs>
        <w:spacing w:line="360" w:lineRule="auto"/>
        <w:ind w:firstLine="397"/>
      </w:pPr>
      <w:r>
        <w:rPr>
          <w:rFonts w:hint="eastAsia"/>
        </w:rPr>
        <w:t>（</w:t>
      </w:r>
      <w:r>
        <w:t>2</w:t>
      </w:r>
      <w:r>
        <w:rPr>
          <w:rFonts w:hint="eastAsia"/>
        </w:rPr>
        <w:t>）施工生产废水</w:t>
      </w:r>
    </w:p>
    <w:p w14:paraId="7536B13C">
      <w:pPr>
        <w:tabs>
          <w:tab w:val="left" w:pos="3120"/>
        </w:tabs>
        <w:spacing w:line="360" w:lineRule="auto"/>
        <w:ind w:firstLine="397"/>
      </w:pPr>
      <w:r>
        <w:t>a.</w:t>
      </w:r>
      <w:r>
        <w:rPr>
          <w:rFonts w:hint="eastAsia"/>
        </w:rPr>
        <w:t>对施工生产废水，如砂石料筛分、混凝土拌和废水以及施工泥浆水，应设置沉淀池处理，对施工机械、车辆维修、冲洗含油废水设置隔油池处理。各类施工生产废水处理需通过集水沟进行收集，经沉淀池净化处理后，可作为施工场地和便道的洒水降尘及边坡绿化养护用水，严禁排入就近河道。</w:t>
      </w:r>
    </w:p>
    <w:p w14:paraId="6089EC4B">
      <w:pPr>
        <w:tabs>
          <w:tab w:val="left" w:pos="3120"/>
        </w:tabs>
        <w:spacing w:line="360" w:lineRule="auto"/>
        <w:ind w:firstLine="397"/>
      </w:pPr>
      <w:r>
        <w:t xml:space="preserve">b. </w:t>
      </w:r>
      <w:r>
        <w:rPr>
          <w:rFonts w:hint="eastAsia"/>
        </w:rPr>
        <w:t>地表开挖和填筑工程，应尽量避开雨季。</w:t>
      </w:r>
    </w:p>
    <w:p w14:paraId="11BC0954">
      <w:pPr>
        <w:tabs>
          <w:tab w:val="left" w:pos="3120"/>
        </w:tabs>
        <w:spacing w:line="360" w:lineRule="auto"/>
        <w:ind w:firstLine="397"/>
      </w:pPr>
      <w:r>
        <w:t>c.</w:t>
      </w:r>
      <w:r>
        <w:rPr>
          <w:rFonts w:hint="eastAsia"/>
        </w:rPr>
        <w:t>对施工场地、砂石料堆场等周围应设置集水沟和沉砂池，防止水土流失。施工结束后，对上述场地及时清理并复绿。</w:t>
      </w:r>
    </w:p>
    <w:p w14:paraId="6E29ECBD">
      <w:pPr>
        <w:tabs>
          <w:tab w:val="left" w:pos="3120"/>
        </w:tabs>
        <w:spacing w:line="360" w:lineRule="auto"/>
        <w:ind w:firstLine="397"/>
      </w:pPr>
      <w:r>
        <w:t>d.</w:t>
      </w:r>
      <w:r>
        <w:rPr>
          <w:rFonts w:hint="eastAsia"/>
        </w:rPr>
        <w:t>施工中产生的废油、废沥青和其他固体废物不得堆放在水体旁，应及时清运。</w:t>
      </w:r>
    </w:p>
    <w:p w14:paraId="62BA2E85">
      <w:pPr>
        <w:tabs>
          <w:tab w:val="left" w:pos="3120"/>
        </w:tabs>
        <w:spacing w:line="360" w:lineRule="auto"/>
        <w:ind w:firstLine="397"/>
      </w:pPr>
      <w:r>
        <w:t>e.</w:t>
      </w:r>
      <w:r>
        <w:rPr>
          <w:rFonts w:hint="eastAsia"/>
        </w:rPr>
        <w:t>含有害物质的建材如沥青不得堆放在水体附近，并应设蓬盖，防止雨水冲刷入水体。</w:t>
      </w:r>
    </w:p>
    <w:p w14:paraId="15171089">
      <w:pPr>
        <w:tabs>
          <w:tab w:val="left" w:pos="3120"/>
        </w:tabs>
        <w:spacing w:line="360" w:lineRule="auto"/>
        <w:ind w:firstLine="397"/>
      </w:pPr>
      <w:r>
        <w:t>f.</w:t>
      </w:r>
      <w:r>
        <w:rPr>
          <w:rFonts w:hint="eastAsia"/>
        </w:rPr>
        <w:t>合理设置施工便道，控制新开辟施工便道数量，尽可能利用现有道路扩建后使用。</w:t>
      </w:r>
    </w:p>
    <w:p w14:paraId="70FB3388">
      <w:pPr>
        <w:tabs>
          <w:tab w:val="left" w:pos="3120"/>
        </w:tabs>
        <w:spacing w:line="360" w:lineRule="auto"/>
        <w:ind w:firstLine="397"/>
      </w:pPr>
      <w:r>
        <w:rPr>
          <w:rFonts w:hint="eastAsia"/>
        </w:rPr>
        <w:t>（</w:t>
      </w:r>
      <w:r>
        <w:t>3</w:t>
      </w:r>
      <w:r>
        <w:rPr>
          <w:rFonts w:hint="eastAsia"/>
        </w:rPr>
        <w:t>）桥梁施工</w:t>
      </w:r>
    </w:p>
    <w:p w14:paraId="7E7580BA">
      <w:pPr>
        <w:tabs>
          <w:tab w:val="left" w:pos="3120"/>
        </w:tabs>
        <w:spacing w:line="360" w:lineRule="auto"/>
        <w:ind w:firstLine="397"/>
      </w:pPr>
      <w:r>
        <w:t>a.</w:t>
      </w:r>
      <w:r>
        <w:rPr>
          <w:rFonts w:hint="eastAsia"/>
        </w:rPr>
        <w:t>桥梁施工应加强对施工机械和施工人员的管理，严禁漏油洒落水体，排污工作规范到位并满足相关部门的要求；钻孔灌注桩施工时，承包人应设置专用沉淀池、泥浆池，并采用切实可行的施工辅助措施，挖出的钻渣和泥浆水不得弃入水体，钻渣应上岸处置，干化后外运处置，干化场地四周设集水沟和沉砂池，钻渣排水经处理达标后由专用车运送至指定地方处置和排放。</w:t>
      </w:r>
    </w:p>
    <w:p w14:paraId="181ADAC1">
      <w:pPr>
        <w:tabs>
          <w:tab w:val="left" w:pos="3120"/>
        </w:tabs>
        <w:spacing w:line="360" w:lineRule="auto"/>
        <w:ind w:firstLine="397"/>
      </w:pPr>
      <w:r>
        <w:t>b.</w:t>
      </w:r>
      <w:r>
        <w:rPr>
          <w:rFonts w:hint="eastAsia"/>
        </w:rPr>
        <w:t>在桥梁施工期间，特别是钻孔灌注桩施工时，承包人有责任保护所在区域、河流不受污染，在处理建筑垃圾时应按照有关部门的要求进行处理，在处理钻孔灌注桩泥浆时应使用泥浆分离器，同时不能随意排放、废弃。</w:t>
      </w:r>
    </w:p>
    <w:p w14:paraId="762D04D4">
      <w:pPr>
        <w:tabs>
          <w:tab w:val="left" w:pos="3120"/>
        </w:tabs>
        <w:spacing w:line="360" w:lineRule="auto"/>
        <w:ind w:firstLine="397"/>
      </w:pPr>
      <w:r>
        <w:t>10</w:t>
      </w:r>
      <w:r>
        <w:rPr>
          <w:rFonts w:hint="eastAsia"/>
        </w:rPr>
        <w:t>．防腐要求</w:t>
      </w:r>
    </w:p>
    <w:p w14:paraId="41968B78">
      <w:pPr>
        <w:tabs>
          <w:tab w:val="left" w:pos="3120"/>
        </w:tabs>
        <w:spacing w:line="360" w:lineRule="auto"/>
        <w:ind w:firstLine="397"/>
      </w:pPr>
      <w:r>
        <w:rPr>
          <w:rFonts w:hint="eastAsia"/>
        </w:rPr>
        <w:t>钢结构桥梁及桥梁所有外露的金属预埋件和构件（包括护栏、灯柱、通信管道、排水设施等），应按图纸及说明要求进行防腐处理，以保证整个桥梁的耐久性和营运过程中的美观。</w:t>
      </w:r>
    </w:p>
    <w:p w14:paraId="57A9F3E1">
      <w:pPr>
        <w:tabs>
          <w:tab w:val="left" w:pos="3120"/>
        </w:tabs>
        <w:spacing w:line="360" w:lineRule="auto"/>
        <w:ind w:firstLine="397"/>
      </w:pPr>
      <w:r>
        <w:t>11</w:t>
      </w:r>
      <w:r>
        <w:rPr>
          <w:rFonts w:hint="eastAsia"/>
        </w:rPr>
        <w:t>．标准化施工工艺</w:t>
      </w:r>
    </w:p>
    <w:p w14:paraId="04B55954">
      <w:pPr>
        <w:tabs>
          <w:tab w:val="left" w:pos="3120"/>
        </w:tabs>
        <w:spacing w:line="360" w:lineRule="auto"/>
        <w:ind w:firstLine="397"/>
      </w:pPr>
      <w:r>
        <w:rPr>
          <w:rFonts w:hint="eastAsia"/>
        </w:rPr>
        <w:t>根据交通运输部、浙江省交通运输厅、项目所在地相关部门关于标准化建设的相关规定，以及发包人相关管理办法，承包人应尽量对各构件的施工采取标准化、工厂化的生产工艺，须与设计人沟通标准化施工过程中的关键技术问题，并制定标准化管理实施细则。</w:t>
      </w:r>
    </w:p>
    <w:p w14:paraId="68BE8B62">
      <w:pPr>
        <w:tabs>
          <w:tab w:val="left" w:pos="3120"/>
        </w:tabs>
        <w:spacing w:line="360" w:lineRule="auto"/>
        <w:ind w:firstLine="397"/>
      </w:pPr>
      <w:r>
        <w:t xml:space="preserve">12. </w:t>
      </w:r>
      <w:r>
        <w:rPr>
          <w:rFonts w:hint="eastAsia"/>
        </w:rPr>
        <w:t>其他要求</w:t>
      </w:r>
    </w:p>
    <w:p w14:paraId="741EC870">
      <w:pPr>
        <w:tabs>
          <w:tab w:val="left" w:pos="3120"/>
        </w:tabs>
        <w:spacing w:line="360" w:lineRule="auto"/>
        <w:ind w:firstLine="397"/>
      </w:pPr>
      <w:r>
        <w:rPr>
          <w:rFonts w:hint="eastAsia"/>
        </w:rPr>
        <w:t>桥梁施工应符合《公路工程小型预制构件施工技术规范》、《公路桥梁后张法预应力施工技术规范》、《公路中小跨径钢板组合梁桥施工质量控制指南》要求。</w:t>
      </w:r>
    </w:p>
    <w:p w14:paraId="5CA8EB88">
      <w:pPr>
        <w:spacing w:line="360" w:lineRule="auto"/>
        <w:rPr>
          <w:rFonts w:eastAsia="黑体"/>
          <w:sz w:val="28"/>
          <w:szCs w:val="28"/>
        </w:rPr>
      </w:pPr>
      <w:r>
        <w:rPr>
          <w:rFonts w:eastAsia="黑体"/>
          <w:sz w:val="28"/>
          <w:szCs w:val="28"/>
        </w:rPr>
        <w:t xml:space="preserve">401.05 </w:t>
      </w:r>
      <w:r>
        <w:rPr>
          <w:rFonts w:hint="eastAsia" w:eastAsia="黑体"/>
          <w:sz w:val="28"/>
          <w:szCs w:val="28"/>
        </w:rPr>
        <w:t>地质情况变化时的处理</w:t>
      </w:r>
    </w:p>
    <w:p w14:paraId="29F98A25">
      <w:pPr>
        <w:tabs>
          <w:tab w:val="left" w:pos="3120"/>
        </w:tabs>
        <w:spacing w:line="360" w:lineRule="auto"/>
        <w:ind w:firstLine="397"/>
      </w:pPr>
      <w:r>
        <w:rPr>
          <w:rFonts w:hint="eastAsia"/>
        </w:rPr>
        <w:t>删除本小节原内容，修改为：</w:t>
      </w:r>
    </w:p>
    <w:p w14:paraId="424CD3C0">
      <w:pPr>
        <w:tabs>
          <w:tab w:val="left" w:pos="3120"/>
        </w:tabs>
        <w:spacing w:line="360" w:lineRule="auto"/>
        <w:ind w:firstLine="397"/>
      </w:pPr>
      <w:r>
        <w:t>1</w:t>
      </w:r>
      <w:r>
        <w:rPr>
          <w:rFonts w:hint="eastAsia"/>
        </w:rPr>
        <w:t>．桥梁基础在施工过程中，若地质情况有变化，承包人应及时报告监理人并提出处理意见，经设计人认可、监理人批准后实施。</w:t>
      </w:r>
    </w:p>
    <w:p w14:paraId="0D10CAAD">
      <w:pPr>
        <w:spacing w:line="360" w:lineRule="auto"/>
        <w:rPr>
          <w:rFonts w:eastAsia="黑体"/>
          <w:sz w:val="28"/>
          <w:szCs w:val="28"/>
        </w:rPr>
      </w:pPr>
      <w:r>
        <w:rPr>
          <w:rFonts w:eastAsia="黑体"/>
          <w:sz w:val="28"/>
          <w:szCs w:val="28"/>
        </w:rPr>
        <w:t xml:space="preserve">401.06  </w:t>
      </w:r>
      <w:r>
        <w:rPr>
          <w:rFonts w:hint="eastAsia" w:eastAsia="黑体"/>
          <w:sz w:val="28"/>
          <w:szCs w:val="28"/>
        </w:rPr>
        <w:t>开放交通</w:t>
      </w:r>
      <w:r>
        <w:rPr>
          <w:rFonts w:eastAsia="黑体"/>
          <w:sz w:val="28"/>
          <w:szCs w:val="28"/>
        </w:rPr>
        <w:t xml:space="preserve"> </w:t>
      </w:r>
    </w:p>
    <w:p w14:paraId="31F6F71D">
      <w:pPr>
        <w:pStyle w:val="25"/>
        <w:spacing w:line="360" w:lineRule="auto"/>
        <w:ind w:firstLine="535" w:firstLineChars="255"/>
        <w:rPr>
          <w:rFonts w:ascii="Times New Roman" w:hAnsi="Times New Roman"/>
        </w:rPr>
      </w:pPr>
      <w:r>
        <w:rPr>
          <w:rFonts w:hint="eastAsia" w:ascii="Times New Roman" w:hAnsi="Times New Roman"/>
        </w:rPr>
        <w:t>补充第</w:t>
      </w:r>
      <w:r>
        <w:rPr>
          <w:rFonts w:ascii="Times New Roman" w:hAnsi="Times New Roman"/>
        </w:rPr>
        <w:t>4</w:t>
      </w:r>
      <w:r>
        <w:rPr>
          <w:rFonts w:hint="eastAsia" w:ascii="Times New Roman" w:hAnsi="Times New Roman"/>
        </w:rPr>
        <w:t>条：</w:t>
      </w:r>
    </w:p>
    <w:p w14:paraId="618CE22D">
      <w:pPr>
        <w:pStyle w:val="25"/>
        <w:spacing w:line="360" w:lineRule="auto"/>
        <w:ind w:firstLine="535" w:firstLineChars="255"/>
        <w:rPr>
          <w:rFonts w:ascii="Times New Roman" w:hAnsi="Times New Roman"/>
        </w:rPr>
      </w:pPr>
      <w:r>
        <w:rPr>
          <w:rFonts w:ascii="Times New Roman" w:hAnsi="Times New Roman"/>
        </w:rPr>
        <w:t>4</w:t>
      </w:r>
      <w:r>
        <w:rPr>
          <w:rFonts w:hint="eastAsia" w:ascii="Times New Roman" w:hAnsi="Times New Roman"/>
        </w:rPr>
        <w:t>．施工期间，应严格控制施工荷载对桥梁的影响，包括架梁设备及其荷载，尤其在桥面浇筑期间，更应严格控制运料车、碾压机械的荷载作用，避免结构早期出现工程病害。同时承包人应综合考虑本项目多次上跨等级公路和地方道路的特殊性，按照相关部门的意见及要求，服从发包人、交警等部门的管理和指挥，做好施工期间的临时保通和临时交通设施设置等工作，有序进行交通流的转换。</w:t>
      </w:r>
    </w:p>
    <w:p w14:paraId="18A2398B"/>
    <w:p w14:paraId="72A5F94B">
      <w:pPr>
        <w:tabs>
          <w:tab w:val="left" w:pos="3120"/>
        </w:tabs>
        <w:spacing w:line="360" w:lineRule="auto"/>
        <w:ind w:firstLine="397"/>
      </w:pPr>
    </w:p>
    <w:p w14:paraId="0953BEE6">
      <w:pPr>
        <w:pStyle w:val="7"/>
        <w:rPr>
          <w:sz w:val="32"/>
        </w:rPr>
      </w:pPr>
      <w:bookmarkStart w:id="412" w:name="_Toc154675174"/>
      <w:r>
        <w:rPr>
          <w:rFonts w:hint="eastAsia"/>
          <w:sz w:val="32"/>
        </w:rPr>
        <w:t>第</w:t>
      </w:r>
      <w:r>
        <w:rPr>
          <w:sz w:val="32"/>
        </w:rPr>
        <w:t>403</w:t>
      </w:r>
      <w:r>
        <w:rPr>
          <w:rFonts w:hint="eastAsia"/>
          <w:sz w:val="32"/>
        </w:rPr>
        <w:t>节</w:t>
      </w:r>
      <w:r>
        <w:rPr>
          <w:sz w:val="32"/>
        </w:rPr>
        <w:t xml:space="preserve">  </w:t>
      </w:r>
      <w:r>
        <w:rPr>
          <w:rFonts w:hint="eastAsia"/>
          <w:sz w:val="32"/>
        </w:rPr>
        <w:t>钢</w:t>
      </w:r>
      <w:r>
        <w:rPr>
          <w:sz w:val="32"/>
        </w:rPr>
        <w:t xml:space="preserve">  </w:t>
      </w:r>
      <w:r>
        <w:rPr>
          <w:rFonts w:hint="eastAsia"/>
          <w:sz w:val="32"/>
        </w:rPr>
        <w:t>筋</w:t>
      </w:r>
      <w:bookmarkEnd w:id="412"/>
    </w:p>
    <w:p w14:paraId="745F6560">
      <w:pPr>
        <w:spacing w:line="360" w:lineRule="auto"/>
        <w:rPr>
          <w:rFonts w:eastAsia="黑体"/>
          <w:sz w:val="28"/>
          <w:szCs w:val="28"/>
        </w:rPr>
      </w:pPr>
      <w:r>
        <w:rPr>
          <w:rFonts w:eastAsia="黑体"/>
          <w:sz w:val="28"/>
          <w:szCs w:val="28"/>
        </w:rPr>
        <w:t xml:space="preserve">403.02 </w:t>
      </w:r>
      <w:r>
        <w:rPr>
          <w:rFonts w:hint="eastAsia" w:eastAsia="黑体"/>
          <w:sz w:val="28"/>
          <w:szCs w:val="28"/>
        </w:rPr>
        <w:t>材料</w:t>
      </w:r>
    </w:p>
    <w:p w14:paraId="6E030935">
      <w:pPr>
        <w:tabs>
          <w:tab w:val="left" w:pos="3120"/>
        </w:tabs>
        <w:spacing w:line="360" w:lineRule="auto"/>
        <w:ind w:firstLine="397"/>
      </w:pPr>
      <w:r>
        <w:t>1</w:t>
      </w:r>
      <w:r>
        <w:rPr>
          <w:rFonts w:hint="eastAsia"/>
        </w:rPr>
        <w:t>．一般要求</w:t>
      </w:r>
    </w:p>
    <w:p w14:paraId="0477EA97">
      <w:pPr>
        <w:tabs>
          <w:tab w:val="left" w:pos="3120"/>
        </w:tabs>
        <w:spacing w:line="360" w:lineRule="auto"/>
        <w:ind w:firstLine="397"/>
      </w:pPr>
      <w:r>
        <w:rPr>
          <w:rFonts w:hint="eastAsia"/>
        </w:rPr>
        <w:t>第（</w:t>
      </w:r>
      <w:r>
        <w:t>1</w:t>
      </w:r>
      <w:r>
        <w:rPr>
          <w:rFonts w:hint="eastAsia"/>
        </w:rPr>
        <w:t>）款修改为：</w:t>
      </w:r>
    </w:p>
    <w:p w14:paraId="7CFAE6E4">
      <w:pPr>
        <w:tabs>
          <w:tab w:val="left" w:pos="3120"/>
        </w:tabs>
        <w:spacing w:line="360" w:lineRule="auto"/>
        <w:ind w:firstLine="397"/>
      </w:pPr>
      <w:r>
        <w:rPr>
          <w:rFonts w:hint="eastAsia"/>
        </w:rPr>
        <w:t>（</w:t>
      </w:r>
      <w:r>
        <w:t>1</w:t>
      </w:r>
      <w:r>
        <w:rPr>
          <w:rFonts w:hint="eastAsia"/>
        </w:rPr>
        <w:t>）</w:t>
      </w:r>
      <w:r>
        <w:t>HPB300</w:t>
      </w:r>
      <w:r>
        <w:rPr>
          <w:rFonts w:hint="eastAsia"/>
        </w:rPr>
        <w:t>钢筋应符合《钢筋混凝土用钢第</w:t>
      </w:r>
      <w:r>
        <w:t>1</w:t>
      </w:r>
      <w:r>
        <w:rPr>
          <w:rFonts w:hint="eastAsia"/>
        </w:rPr>
        <w:t>部分：热轧光圆钢筋》（</w:t>
      </w:r>
      <w:r>
        <w:t>GB1499.1-2017</w:t>
      </w:r>
      <w:r>
        <w:rPr>
          <w:rFonts w:hint="eastAsia"/>
        </w:rPr>
        <w:t>）的规定，</w:t>
      </w:r>
      <w:r>
        <w:t xml:space="preserve"> HRB400</w:t>
      </w:r>
      <w:r>
        <w:rPr>
          <w:rFonts w:hint="eastAsia"/>
        </w:rPr>
        <w:t>钢筋应符合《钢筋混凝土用钢第</w:t>
      </w:r>
      <w:r>
        <w:t>2</w:t>
      </w:r>
      <w:r>
        <w:rPr>
          <w:rFonts w:hint="eastAsia"/>
        </w:rPr>
        <w:t>部分：热轧带肋钢筋》（</w:t>
      </w:r>
      <w:r>
        <w:t>GB1499.2-2018</w:t>
      </w:r>
      <w:r>
        <w:rPr>
          <w:rFonts w:hint="eastAsia"/>
        </w:rPr>
        <w:t>）的规定。钢筋的主要力学性能、工艺性能见表</w:t>
      </w:r>
      <w:r>
        <w:t>403-1</w:t>
      </w:r>
      <w:r>
        <w:rPr>
          <w:rFonts w:hint="eastAsia"/>
        </w:rPr>
        <w:t>。</w:t>
      </w:r>
    </w:p>
    <w:p w14:paraId="36B908B2">
      <w:pPr>
        <w:tabs>
          <w:tab w:val="left" w:pos="3120"/>
        </w:tabs>
        <w:spacing w:line="360" w:lineRule="auto"/>
        <w:ind w:firstLine="397"/>
        <w:jc w:val="center"/>
        <w:rPr>
          <w:b/>
        </w:rPr>
      </w:pPr>
      <w:r>
        <w:rPr>
          <w:rFonts w:hint="eastAsia"/>
          <w:b/>
        </w:rPr>
        <w:t>表</w:t>
      </w:r>
      <w:r>
        <w:rPr>
          <w:b/>
        </w:rPr>
        <w:t xml:space="preserve">403-1 </w:t>
      </w:r>
      <w:r>
        <w:rPr>
          <w:rFonts w:hint="eastAsia"/>
          <w:b/>
        </w:rPr>
        <w:t>钢筋的主要力学、工艺性能</w:t>
      </w:r>
    </w:p>
    <w:tbl>
      <w:tblPr>
        <w:tblStyle w:val="44"/>
        <w:tblW w:w="0" w:type="auto"/>
        <w:tblInd w:w="67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52"/>
        <w:gridCol w:w="1701"/>
        <w:gridCol w:w="1559"/>
        <w:gridCol w:w="1276"/>
        <w:gridCol w:w="1276"/>
      </w:tblGrid>
      <w:tr w14:paraId="50513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02A1FF4F">
            <w:pPr>
              <w:tabs>
                <w:tab w:val="left" w:pos="3120"/>
              </w:tabs>
              <w:spacing w:line="360" w:lineRule="auto"/>
              <w:jc w:val="center"/>
            </w:pPr>
            <w:r>
              <w:rPr>
                <w:rFonts w:hint="eastAsia"/>
              </w:rPr>
              <w:t>钢筋种类</w:t>
            </w:r>
          </w:p>
        </w:tc>
        <w:tc>
          <w:tcPr>
            <w:tcW w:w="1701" w:type="dxa"/>
            <w:shd w:val="clear" w:color="auto" w:fill="auto"/>
          </w:tcPr>
          <w:p w14:paraId="382313CB">
            <w:pPr>
              <w:tabs>
                <w:tab w:val="left" w:pos="3120"/>
              </w:tabs>
              <w:spacing w:line="360" w:lineRule="auto"/>
              <w:jc w:val="center"/>
            </w:pPr>
            <w:r>
              <w:t>HPB300</w:t>
            </w:r>
          </w:p>
        </w:tc>
        <w:tc>
          <w:tcPr>
            <w:tcW w:w="4111" w:type="dxa"/>
            <w:gridSpan w:val="3"/>
            <w:shd w:val="clear" w:color="auto" w:fill="auto"/>
          </w:tcPr>
          <w:p w14:paraId="3D06C8CD">
            <w:pPr>
              <w:tabs>
                <w:tab w:val="left" w:pos="3120"/>
              </w:tabs>
              <w:spacing w:line="360" w:lineRule="auto"/>
              <w:jc w:val="center"/>
            </w:pPr>
            <w:r>
              <w:t>HRB400</w:t>
            </w:r>
          </w:p>
        </w:tc>
      </w:tr>
      <w:tr w14:paraId="59A5C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6BFC60BD">
            <w:pPr>
              <w:tabs>
                <w:tab w:val="left" w:pos="3120"/>
              </w:tabs>
              <w:spacing w:line="360" w:lineRule="auto"/>
            </w:pPr>
            <w:r>
              <w:rPr>
                <w:rFonts w:hint="eastAsia"/>
              </w:rPr>
              <w:t>钢筋直径（</w:t>
            </w:r>
            <w:r>
              <w:t>mm</w:t>
            </w:r>
            <w:r>
              <w:rPr>
                <w:rFonts w:hint="eastAsia"/>
              </w:rPr>
              <w:t>）</w:t>
            </w:r>
          </w:p>
        </w:tc>
        <w:tc>
          <w:tcPr>
            <w:tcW w:w="1701" w:type="dxa"/>
            <w:shd w:val="clear" w:color="auto" w:fill="auto"/>
          </w:tcPr>
          <w:p w14:paraId="7250D1DA">
            <w:pPr>
              <w:tabs>
                <w:tab w:val="left" w:pos="3120"/>
              </w:tabs>
              <w:spacing w:line="360" w:lineRule="auto"/>
              <w:jc w:val="center"/>
            </w:pPr>
            <w:r>
              <w:t>6~22</w:t>
            </w:r>
          </w:p>
        </w:tc>
        <w:tc>
          <w:tcPr>
            <w:tcW w:w="1559" w:type="dxa"/>
            <w:shd w:val="clear" w:color="auto" w:fill="auto"/>
          </w:tcPr>
          <w:p w14:paraId="3C673B1A">
            <w:pPr>
              <w:tabs>
                <w:tab w:val="left" w:pos="3120"/>
              </w:tabs>
              <w:spacing w:line="360" w:lineRule="auto"/>
              <w:jc w:val="center"/>
            </w:pPr>
            <w:r>
              <w:t>6~25</w:t>
            </w:r>
          </w:p>
        </w:tc>
        <w:tc>
          <w:tcPr>
            <w:tcW w:w="1276" w:type="dxa"/>
            <w:shd w:val="clear" w:color="auto" w:fill="auto"/>
          </w:tcPr>
          <w:p w14:paraId="30489933">
            <w:pPr>
              <w:tabs>
                <w:tab w:val="left" w:pos="3120"/>
              </w:tabs>
              <w:spacing w:line="360" w:lineRule="auto"/>
              <w:jc w:val="center"/>
            </w:pPr>
            <w:r>
              <w:t>28~40</w:t>
            </w:r>
          </w:p>
        </w:tc>
        <w:tc>
          <w:tcPr>
            <w:tcW w:w="1276" w:type="dxa"/>
            <w:shd w:val="clear" w:color="auto" w:fill="auto"/>
          </w:tcPr>
          <w:p w14:paraId="63BA12D3">
            <w:pPr>
              <w:tabs>
                <w:tab w:val="left" w:pos="3120"/>
              </w:tabs>
              <w:spacing w:line="360" w:lineRule="auto"/>
              <w:jc w:val="center"/>
            </w:pPr>
            <w:r>
              <w:t>&gt;40~50</w:t>
            </w:r>
          </w:p>
        </w:tc>
      </w:tr>
      <w:tr w14:paraId="58DFC5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5018BF66">
            <w:pPr>
              <w:tabs>
                <w:tab w:val="left" w:pos="3120"/>
              </w:tabs>
              <w:spacing w:line="360" w:lineRule="auto"/>
            </w:pPr>
            <w:r>
              <w:rPr>
                <w:rFonts w:hint="eastAsia"/>
              </w:rPr>
              <w:t>最小屈服强度（</w:t>
            </w:r>
            <w:r>
              <w:t>MPa</w:t>
            </w:r>
            <w:r>
              <w:rPr>
                <w:rFonts w:hint="eastAsia"/>
              </w:rPr>
              <w:t>）</w:t>
            </w:r>
          </w:p>
        </w:tc>
        <w:tc>
          <w:tcPr>
            <w:tcW w:w="1701" w:type="dxa"/>
            <w:shd w:val="clear" w:color="auto" w:fill="auto"/>
          </w:tcPr>
          <w:p w14:paraId="259E8436">
            <w:pPr>
              <w:tabs>
                <w:tab w:val="left" w:pos="3120"/>
              </w:tabs>
              <w:spacing w:line="360" w:lineRule="auto"/>
              <w:jc w:val="center"/>
            </w:pPr>
            <w:r>
              <w:t>300</w:t>
            </w:r>
          </w:p>
        </w:tc>
        <w:tc>
          <w:tcPr>
            <w:tcW w:w="4111" w:type="dxa"/>
            <w:gridSpan w:val="3"/>
            <w:shd w:val="clear" w:color="auto" w:fill="auto"/>
          </w:tcPr>
          <w:p w14:paraId="0A779134">
            <w:pPr>
              <w:tabs>
                <w:tab w:val="left" w:pos="3120"/>
              </w:tabs>
              <w:spacing w:line="360" w:lineRule="auto"/>
              <w:jc w:val="center"/>
            </w:pPr>
            <w:r>
              <w:t>400</w:t>
            </w:r>
          </w:p>
        </w:tc>
      </w:tr>
      <w:tr w14:paraId="01DAB2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33233425">
            <w:pPr>
              <w:tabs>
                <w:tab w:val="left" w:pos="3120"/>
              </w:tabs>
              <w:spacing w:line="360" w:lineRule="auto"/>
            </w:pPr>
            <w:r>
              <w:rPr>
                <w:rFonts w:hint="eastAsia"/>
              </w:rPr>
              <w:t>最小抗拉强度（</w:t>
            </w:r>
            <w:r>
              <w:t>MPa</w:t>
            </w:r>
            <w:r>
              <w:rPr>
                <w:rFonts w:hint="eastAsia"/>
              </w:rPr>
              <w:t>）</w:t>
            </w:r>
          </w:p>
        </w:tc>
        <w:tc>
          <w:tcPr>
            <w:tcW w:w="1701" w:type="dxa"/>
            <w:shd w:val="clear" w:color="auto" w:fill="auto"/>
          </w:tcPr>
          <w:p w14:paraId="6DAB3EAC">
            <w:pPr>
              <w:tabs>
                <w:tab w:val="left" w:pos="3120"/>
              </w:tabs>
              <w:spacing w:line="360" w:lineRule="auto"/>
              <w:jc w:val="center"/>
            </w:pPr>
            <w:r>
              <w:t>420</w:t>
            </w:r>
          </w:p>
        </w:tc>
        <w:tc>
          <w:tcPr>
            <w:tcW w:w="4111" w:type="dxa"/>
            <w:gridSpan w:val="3"/>
            <w:shd w:val="clear" w:color="auto" w:fill="auto"/>
          </w:tcPr>
          <w:p w14:paraId="4CBFE55F">
            <w:pPr>
              <w:tabs>
                <w:tab w:val="left" w:pos="3120"/>
              </w:tabs>
              <w:spacing w:line="360" w:lineRule="auto"/>
              <w:jc w:val="center"/>
            </w:pPr>
            <w:r>
              <w:t>540</w:t>
            </w:r>
          </w:p>
        </w:tc>
      </w:tr>
      <w:tr w14:paraId="34C26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797D8C19">
            <w:pPr>
              <w:tabs>
                <w:tab w:val="left" w:pos="3120"/>
              </w:tabs>
              <w:spacing w:line="360" w:lineRule="auto"/>
            </w:pPr>
            <w:r>
              <w:rPr>
                <w:rFonts w:hint="eastAsia"/>
              </w:rPr>
              <w:t>延伸率（</w:t>
            </w:r>
            <w:r>
              <w:t>%</w:t>
            </w:r>
            <w:r>
              <w:rPr>
                <w:rFonts w:hint="eastAsia"/>
              </w:rPr>
              <w:t>）</w:t>
            </w:r>
          </w:p>
        </w:tc>
        <w:tc>
          <w:tcPr>
            <w:tcW w:w="1701" w:type="dxa"/>
            <w:shd w:val="clear" w:color="auto" w:fill="auto"/>
          </w:tcPr>
          <w:p w14:paraId="4C67D9C1">
            <w:pPr>
              <w:tabs>
                <w:tab w:val="left" w:pos="3120"/>
              </w:tabs>
              <w:spacing w:line="360" w:lineRule="auto"/>
              <w:jc w:val="center"/>
            </w:pPr>
            <w:r>
              <w:t>25</w:t>
            </w:r>
          </w:p>
        </w:tc>
        <w:tc>
          <w:tcPr>
            <w:tcW w:w="4111" w:type="dxa"/>
            <w:gridSpan w:val="3"/>
            <w:shd w:val="clear" w:color="auto" w:fill="auto"/>
          </w:tcPr>
          <w:p w14:paraId="6EEEB7A3">
            <w:pPr>
              <w:tabs>
                <w:tab w:val="left" w:pos="3120"/>
              </w:tabs>
              <w:spacing w:line="360" w:lineRule="auto"/>
              <w:jc w:val="center"/>
            </w:pPr>
            <w:r>
              <w:t>16</w:t>
            </w:r>
          </w:p>
        </w:tc>
      </w:tr>
      <w:tr w14:paraId="52A999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552" w:type="dxa"/>
            <w:shd w:val="clear" w:color="auto" w:fill="auto"/>
          </w:tcPr>
          <w:p w14:paraId="17A36EAD">
            <w:pPr>
              <w:tabs>
                <w:tab w:val="left" w:pos="3120"/>
              </w:tabs>
              <w:spacing w:line="360" w:lineRule="auto"/>
            </w:pPr>
            <w:r>
              <w:t>180°</w:t>
            </w:r>
            <w:r>
              <w:rPr>
                <w:rFonts w:hint="eastAsia"/>
              </w:rPr>
              <w:t>冷弯弯芯内径</w:t>
            </w:r>
          </w:p>
        </w:tc>
        <w:tc>
          <w:tcPr>
            <w:tcW w:w="1701" w:type="dxa"/>
            <w:shd w:val="clear" w:color="auto" w:fill="auto"/>
          </w:tcPr>
          <w:p w14:paraId="5388227C">
            <w:pPr>
              <w:tabs>
                <w:tab w:val="left" w:pos="3120"/>
              </w:tabs>
              <w:spacing w:line="360" w:lineRule="auto"/>
              <w:jc w:val="center"/>
            </w:pPr>
            <w:r>
              <w:t>d</w:t>
            </w:r>
          </w:p>
        </w:tc>
        <w:tc>
          <w:tcPr>
            <w:tcW w:w="1559" w:type="dxa"/>
            <w:shd w:val="clear" w:color="auto" w:fill="auto"/>
          </w:tcPr>
          <w:p w14:paraId="2287F40D">
            <w:pPr>
              <w:tabs>
                <w:tab w:val="left" w:pos="3120"/>
              </w:tabs>
              <w:spacing w:line="360" w:lineRule="auto"/>
              <w:jc w:val="center"/>
            </w:pPr>
            <w:r>
              <w:t>4d</w:t>
            </w:r>
          </w:p>
        </w:tc>
        <w:tc>
          <w:tcPr>
            <w:tcW w:w="1276" w:type="dxa"/>
            <w:shd w:val="clear" w:color="auto" w:fill="auto"/>
          </w:tcPr>
          <w:p w14:paraId="5B197851">
            <w:pPr>
              <w:tabs>
                <w:tab w:val="left" w:pos="3120"/>
              </w:tabs>
              <w:spacing w:line="360" w:lineRule="auto"/>
              <w:jc w:val="center"/>
            </w:pPr>
            <w:r>
              <w:t>5d</w:t>
            </w:r>
          </w:p>
        </w:tc>
        <w:tc>
          <w:tcPr>
            <w:tcW w:w="1276" w:type="dxa"/>
            <w:shd w:val="clear" w:color="auto" w:fill="auto"/>
          </w:tcPr>
          <w:p w14:paraId="19EE36B1">
            <w:pPr>
              <w:tabs>
                <w:tab w:val="left" w:pos="3120"/>
              </w:tabs>
              <w:spacing w:line="360" w:lineRule="auto"/>
              <w:jc w:val="center"/>
            </w:pPr>
            <w:r>
              <w:t>6d</w:t>
            </w:r>
          </w:p>
        </w:tc>
      </w:tr>
    </w:tbl>
    <w:p w14:paraId="05CBE3D4">
      <w:pPr>
        <w:tabs>
          <w:tab w:val="left" w:pos="3120"/>
        </w:tabs>
        <w:spacing w:line="360" w:lineRule="auto"/>
        <w:ind w:firstLine="397"/>
      </w:pPr>
      <w:r>
        <w:rPr>
          <w:rFonts w:hint="eastAsia"/>
        </w:rPr>
        <w:t>注：</w:t>
      </w:r>
      <w:r>
        <w:t>“d”</w:t>
      </w:r>
      <w:r>
        <w:rPr>
          <w:rFonts w:hint="eastAsia"/>
        </w:rPr>
        <w:t>为钢筋公称直径。</w:t>
      </w:r>
    </w:p>
    <w:p w14:paraId="0FCF48F3">
      <w:pPr>
        <w:tabs>
          <w:tab w:val="left" w:pos="3120"/>
        </w:tabs>
        <w:spacing w:line="360" w:lineRule="auto"/>
        <w:ind w:firstLine="397"/>
      </w:pPr>
      <w:r>
        <w:rPr>
          <w:rFonts w:hint="eastAsia"/>
        </w:rPr>
        <w:t>补充第（</w:t>
      </w:r>
      <w:r>
        <w:t>4</w:t>
      </w:r>
      <w:r>
        <w:rPr>
          <w:rFonts w:hint="eastAsia"/>
        </w:rPr>
        <w:t>）款：</w:t>
      </w:r>
    </w:p>
    <w:p w14:paraId="29902ECD">
      <w:pPr>
        <w:tabs>
          <w:tab w:val="left" w:pos="3120"/>
        </w:tabs>
        <w:spacing w:line="360" w:lineRule="auto"/>
        <w:ind w:firstLine="397"/>
      </w:pPr>
      <w:r>
        <w:rPr>
          <w:rFonts w:hint="eastAsia"/>
        </w:rPr>
        <w:t>（</w:t>
      </w:r>
      <w:r>
        <w:t>4</w:t>
      </w:r>
      <w:r>
        <w:rPr>
          <w:rFonts w:hint="eastAsia"/>
        </w:rPr>
        <w:t>）钢筋产品的质量必须符合国家有关标准及本项设计人提出的设计要求。如国家有新标准出台，则应符合国家所颁发的最新版本的质量和技术标准。</w:t>
      </w:r>
    </w:p>
    <w:p w14:paraId="1CBC487E">
      <w:pPr>
        <w:spacing w:line="360" w:lineRule="auto"/>
        <w:rPr>
          <w:rFonts w:eastAsia="黑体"/>
          <w:sz w:val="28"/>
          <w:szCs w:val="28"/>
        </w:rPr>
      </w:pPr>
      <w:r>
        <w:rPr>
          <w:rFonts w:eastAsia="黑体"/>
          <w:sz w:val="28"/>
          <w:szCs w:val="28"/>
        </w:rPr>
        <w:t xml:space="preserve">403.03 </w:t>
      </w:r>
      <w:r>
        <w:rPr>
          <w:rFonts w:hint="eastAsia" w:eastAsia="黑体"/>
          <w:sz w:val="28"/>
          <w:szCs w:val="28"/>
        </w:rPr>
        <w:t>试样及试验</w:t>
      </w:r>
    </w:p>
    <w:p w14:paraId="754D9BB5">
      <w:pPr>
        <w:tabs>
          <w:tab w:val="left" w:pos="3120"/>
        </w:tabs>
        <w:spacing w:line="360" w:lineRule="auto"/>
        <w:ind w:firstLine="397"/>
      </w:pPr>
      <w:r>
        <w:t>1</w:t>
      </w:r>
      <w:r>
        <w:rPr>
          <w:rFonts w:hint="eastAsia"/>
        </w:rPr>
        <w:t>．一般要求</w:t>
      </w:r>
    </w:p>
    <w:p w14:paraId="272F5CA9">
      <w:pPr>
        <w:tabs>
          <w:tab w:val="left" w:pos="3120"/>
        </w:tabs>
        <w:spacing w:line="360" w:lineRule="auto"/>
        <w:ind w:firstLine="397"/>
      </w:pPr>
      <w:r>
        <w:rPr>
          <w:rFonts w:hint="eastAsia"/>
        </w:rPr>
        <w:t>第（</w:t>
      </w:r>
      <w:r>
        <w:t>1</w:t>
      </w:r>
      <w:r>
        <w:rPr>
          <w:rFonts w:hint="eastAsia"/>
        </w:rPr>
        <w:t>）、（</w:t>
      </w:r>
      <w:r>
        <w:t>2</w:t>
      </w:r>
      <w:r>
        <w:rPr>
          <w:rFonts w:hint="eastAsia"/>
        </w:rPr>
        <w:t>）、（</w:t>
      </w:r>
      <w:r>
        <w:t>3</w:t>
      </w:r>
      <w:r>
        <w:rPr>
          <w:rFonts w:hint="eastAsia"/>
        </w:rPr>
        <w:t>）款修改为：</w:t>
      </w:r>
    </w:p>
    <w:p w14:paraId="26617957">
      <w:pPr>
        <w:tabs>
          <w:tab w:val="left" w:pos="3120"/>
        </w:tabs>
        <w:spacing w:line="360" w:lineRule="auto"/>
        <w:ind w:firstLine="397"/>
      </w:pPr>
      <w:r>
        <w:rPr>
          <w:rFonts w:hint="eastAsia"/>
        </w:rPr>
        <w:t>（</w:t>
      </w:r>
      <w:r>
        <w:t>1</w:t>
      </w:r>
      <w:r>
        <w:rPr>
          <w:rFonts w:hint="eastAsia"/>
        </w:rPr>
        <w:t>）钢筋应按《金属材料拉伸试验第</w:t>
      </w:r>
      <w:r>
        <w:t>1</w:t>
      </w:r>
      <w:r>
        <w:rPr>
          <w:rFonts w:hint="eastAsia"/>
        </w:rPr>
        <w:t>部分：室温试验方法》（</w:t>
      </w:r>
      <w:r>
        <w:t>GB/T228.1-2010</w:t>
      </w:r>
      <w:r>
        <w:rPr>
          <w:rFonts w:hint="eastAsia"/>
        </w:rPr>
        <w:t>）、《钢及钢产品力学性能试验取样位置及试样制备》（</w:t>
      </w:r>
      <w:r>
        <w:t>GB/T2975-2018</w:t>
      </w:r>
      <w:r>
        <w:rPr>
          <w:rFonts w:hint="eastAsia"/>
        </w:rPr>
        <w:t>）、《金属材料弯曲试验方法》（</w:t>
      </w:r>
      <w:r>
        <w:t>GB/T232-2010</w:t>
      </w:r>
      <w:r>
        <w:rPr>
          <w:rFonts w:hint="eastAsia"/>
        </w:rPr>
        <w:t>）及《焊接接头冲击试验方法》（</w:t>
      </w:r>
      <w:r>
        <w:t>GB/T2650-2008</w:t>
      </w:r>
      <w:r>
        <w:rPr>
          <w:rFonts w:hint="eastAsia"/>
        </w:rPr>
        <w:t>）、《焊接接头拉伸试验方法》（</w:t>
      </w:r>
      <w:r>
        <w:t>GB/T2651-2008</w:t>
      </w:r>
      <w:r>
        <w:rPr>
          <w:rFonts w:hint="eastAsia"/>
        </w:rPr>
        <w:t>）的规定进行屈服点、抗拉强度、延伸量和冷弯试验及焊接性能试验，或经监理人批准，采用相应的国际上采用的标准。</w:t>
      </w:r>
    </w:p>
    <w:p w14:paraId="6015475B">
      <w:pPr>
        <w:tabs>
          <w:tab w:val="left" w:pos="3120"/>
        </w:tabs>
        <w:spacing w:line="360" w:lineRule="auto"/>
        <w:ind w:firstLine="397"/>
      </w:pPr>
      <w:r>
        <w:rPr>
          <w:rFonts w:hint="eastAsia"/>
        </w:rPr>
        <w:t>（</w:t>
      </w:r>
      <w:r>
        <w:t>2</w:t>
      </w:r>
      <w:r>
        <w:rPr>
          <w:rFonts w:hint="eastAsia"/>
        </w:rPr>
        <w:t>）钢筋必须按不同钢种、等级、牌号、规格及生产厂分批验收，分别堆存，且应立牌标明</w:t>
      </w:r>
      <w:r>
        <w:t>“</w:t>
      </w:r>
      <w:r>
        <w:rPr>
          <w:rFonts w:hint="eastAsia"/>
        </w:rPr>
        <w:t>已检合格区、待检区、不合格区</w:t>
      </w:r>
      <w:r>
        <w:t>”</w:t>
      </w:r>
      <w:r>
        <w:rPr>
          <w:rFonts w:hint="eastAsia"/>
        </w:rPr>
        <w:t>以便于识别。钢筋应入库存放，不准露天堆放，短期露天堆放应备有防雨覆盖物，并应建立钢材进出调拨台账以备追溯查询。</w:t>
      </w:r>
    </w:p>
    <w:p w14:paraId="01D25E3D">
      <w:pPr>
        <w:tabs>
          <w:tab w:val="left" w:pos="3120"/>
        </w:tabs>
        <w:spacing w:line="360" w:lineRule="auto"/>
        <w:ind w:firstLine="397"/>
      </w:pPr>
      <w:r>
        <w:rPr>
          <w:rFonts w:hint="eastAsia"/>
        </w:rPr>
        <w:t>（</w:t>
      </w:r>
      <w:r>
        <w:t>3</w:t>
      </w:r>
      <w:r>
        <w:rPr>
          <w:rFonts w:hint="eastAsia"/>
        </w:rPr>
        <w:t>）所有钢筋试验必须在具有相应资质并取得监理人同意的试验室进行。</w:t>
      </w:r>
    </w:p>
    <w:p w14:paraId="1FAA3BE4">
      <w:pPr>
        <w:tabs>
          <w:tab w:val="left" w:pos="3120"/>
        </w:tabs>
        <w:spacing w:line="360" w:lineRule="auto"/>
        <w:ind w:firstLine="397"/>
        <w:rPr>
          <w:rFonts w:eastAsia="黑体"/>
        </w:rPr>
      </w:pPr>
      <w:r>
        <w:rPr>
          <w:rFonts w:eastAsia="黑体"/>
        </w:rPr>
        <w:t xml:space="preserve">403.04 </w:t>
      </w:r>
      <w:r>
        <w:rPr>
          <w:rFonts w:hint="eastAsia" w:eastAsia="黑体"/>
        </w:rPr>
        <w:t>钢筋的储存、加工与安装</w:t>
      </w:r>
    </w:p>
    <w:p w14:paraId="1562FE78">
      <w:pPr>
        <w:tabs>
          <w:tab w:val="left" w:pos="3120"/>
        </w:tabs>
        <w:spacing w:line="360" w:lineRule="auto"/>
        <w:ind w:firstLine="397"/>
      </w:pPr>
      <w:r>
        <w:rPr>
          <w:rFonts w:hint="eastAsia"/>
        </w:rPr>
        <w:t>第</w:t>
      </w:r>
      <w:r>
        <w:t>2</w:t>
      </w:r>
      <w:r>
        <w:rPr>
          <w:rFonts w:hint="eastAsia"/>
        </w:rPr>
        <w:t>条修改为：</w:t>
      </w:r>
    </w:p>
    <w:p w14:paraId="4073FE4A">
      <w:pPr>
        <w:tabs>
          <w:tab w:val="left" w:pos="3120"/>
        </w:tabs>
        <w:spacing w:line="360" w:lineRule="auto"/>
        <w:ind w:firstLine="397"/>
      </w:pPr>
      <w:r>
        <w:t xml:space="preserve">2. </w:t>
      </w:r>
      <w:r>
        <w:rPr>
          <w:rFonts w:hint="eastAsia"/>
        </w:rPr>
        <w:t>钢筋整直</w:t>
      </w:r>
    </w:p>
    <w:p w14:paraId="0B9F01F5">
      <w:pPr>
        <w:tabs>
          <w:tab w:val="left" w:pos="3120"/>
        </w:tabs>
        <w:spacing w:line="360" w:lineRule="auto"/>
        <w:ind w:firstLine="397"/>
      </w:pPr>
      <w:r>
        <w:rPr>
          <w:rFonts w:hint="eastAsia"/>
        </w:rPr>
        <w:t>盘筋和弯曲的钢筋，采用冷拉方法调直钢筋时，</w:t>
      </w:r>
      <w:r>
        <w:t>HPB300</w:t>
      </w:r>
      <w:r>
        <w:rPr>
          <w:rFonts w:hint="eastAsia"/>
        </w:rPr>
        <w:t>钢筋的冷拉率不宜大于</w:t>
      </w:r>
      <w:r>
        <w:t>2%</w:t>
      </w:r>
      <w:r>
        <w:rPr>
          <w:rFonts w:hint="eastAsia"/>
        </w:rPr>
        <w:t>；</w:t>
      </w:r>
      <w:r>
        <w:t>HRB400</w:t>
      </w:r>
      <w:r>
        <w:rPr>
          <w:rFonts w:hint="eastAsia"/>
        </w:rPr>
        <w:t>钢筋的冷拉率不宜大于</w:t>
      </w:r>
      <w:r>
        <w:t>1%</w:t>
      </w:r>
      <w:r>
        <w:rPr>
          <w:rFonts w:hint="eastAsia"/>
        </w:rPr>
        <w:t>。</w:t>
      </w:r>
    </w:p>
    <w:p w14:paraId="2F29C2B6">
      <w:pPr>
        <w:tabs>
          <w:tab w:val="left" w:pos="3120"/>
        </w:tabs>
        <w:spacing w:line="360" w:lineRule="auto"/>
        <w:ind w:firstLine="397"/>
      </w:pPr>
      <w:r>
        <w:t>3</w:t>
      </w:r>
      <w:r>
        <w:rPr>
          <w:rFonts w:hint="eastAsia"/>
        </w:rPr>
        <w:t>．钢筋的截断及弯曲</w:t>
      </w:r>
    </w:p>
    <w:p w14:paraId="32CE8793">
      <w:pPr>
        <w:tabs>
          <w:tab w:val="left" w:pos="3120"/>
        </w:tabs>
        <w:spacing w:line="360" w:lineRule="auto"/>
        <w:ind w:firstLine="397"/>
      </w:pPr>
      <w:r>
        <w:rPr>
          <w:rFonts w:hint="eastAsia"/>
        </w:rPr>
        <w:t>第（</w:t>
      </w:r>
      <w:r>
        <w:t>1</w:t>
      </w:r>
      <w:r>
        <w:rPr>
          <w:rFonts w:hint="eastAsia"/>
        </w:rPr>
        <w:t>）款修改为：</w:t>
      </w:r>
    </w:p>
    <w:p w14:paraId="3977058F">
      <w:pPr>
        <w:tabs>
          <w:tab w:val="left" w:pos="3120"/>
        </w:tabs>
        <w:spacing w:line="360" w:lineRule="auto"/>
        <w:ind w:firstLine="397"/>
      </w:pPr>
      <w:r>
        <w:rPr>
          <w:rFonts w:hint="eastAsia"/>
        </w:rPr>
        <w:t>（</w:t>
      </w:r>
      <w:r>
        <w:t>1</w:t>
      </w:r>
      <w:r>
        <w:rPr>
          <w:rFonts w:hint="eastAsia"/>
        </w:rPr>
        <w:t>）除监理人书面指示外，所有钢筋的截断及弯曲工作均应在工地的加工场内进行，钢筋加工场地应搭设加工工棚，地面用素混凝土硬化，做好排水沟。</w:t>
      </w:r>
    </w:p>
    <w:p w14:paraId="19E18973">
      <w:pPr>
        <w:spacing w:line="360" w:lineRule="auto"/>
        <w:rPr>
          <w:rFonts w:eastAsia="黑体"/>
          <w:sz w:val="28"/>
          <w:szCs w:val="28"/>
        </w:rPr>
      </w:pPr>
      <w:r>
        <w:rPr>
          <w:rFonts w:eastAsia="黑体"/>
          <w:sz w:val="28"/>
          <w:szCs w:val="28"/>
        </w:rPr>
        <w:t xml:space="preserve">403.05 </w:t>
      </w:r>
      <w:r>
        <w:rPr>
          <w:rFonts w:hint="eastAsia" w:eastAsia="黑体"/>
          <w:sz w:val="28"/>
          <w:szCs w:val="28"/>
        </w:rPr>
        <w:t>钢筋接头</w:t>
      </w:r>
    </w:p>
    <w:p w14:paraId="105BF95E">
      <w:pPr>
        <w:tabs>
          <w:tab w:val="left" w:pos="3120"/>
        </w:tabs>
        <w:spacing w:line="360" w:lineRule="auto"/>
        <w:ind w:firstLine="397"/>
      </w:pPr>
      <w:r>
        <w:t>1.</w:t>
      </w:r>
      <w:r>
        <w:rPr>
          <w:rFonts w:hint="eastAsia"/>
        </w:rPr>
        <w:t>一般要求</w:t>
      </w:r>
    </w:p>
    <w:p w14:paraId="43A64528">
      <w:pPr>
        <w:tabs>
          <w:tab w:val="left" w:pos="3120"/>
        </w:tabs>
        <w:spacing w:line="360" w:lineRule="auto"/>
        <w:ind w:firstLine="397"/>
      </w:pPr>
      <w:r>
        <w:rPr>
          <w:rFonts w:hint="eastAsia"/>
        </w:rPr>
        <w:t>补充第（</w:t>
      </w:r>
      <w:r>
        <w:t>4</w:t>
      </w:r>
      <w:r>
        <w:rPr>
          <w:rFonts w:hint="eastAsia"/>
        </w:rPr>
        <w:t>）、（</w:t>
      </w:r>
      <w:r>
        <w:t>5</w:t>
      </w:r>
      <w:r>
        <w:rPr>
          <w:rFonts w:hint="eastAsia"/>
        </w:rPr>
        <w:t>）款：</w:t>
      </w:r>
    </w:p>
    <w:p w14:paraId="608D8311">
      <w:pPr>
        <w:tabs>
          <w:tab w:val="left" w:pos="3120"/>
        </w:tabs>
        <w:spacing w:line="360" w:lineRule="auto"/>
        <w:ind w:firstLine="397"/>
      </w:pPr>
      <w:r>
        <w:rPr>
          <w:rFonts w:hint="eastAsia"/>
        </w:rPr>
        <w:t>（</w:t>
      </w:r>
      <w:r>
        <w:t>4</w:t>
      </w:r>
      <w:r>
        <w:rPr>
          <w:rFonts w:hint="eastAsia"/>
        </w:rPr>
        <w:t>）桩基竖向钢筋全部采用机械连接接长：对于墩身钢筋，直径大于等于</w:t>
      </w:r>
      <w:r>
        <w:t>25</w:t>
      </w:r>
      <w:r>
        <w:rPr>
          <w:rFonts w:hint="eastAsia"/>
        </w:rPr>
        <w:t>毫米的</w:t>
      </w:r>
      <w:r>
        <w:t>HRB400</w:t>
      </w:r>
      <w:r>
        <w:rPr>
          <w:rFonts w:hint="eastAsia"/>
        </w:rPr>
        <w:t>钢筋采用机械连接接长。钢筋接头等级为</w:t>
      </w:r>
      <w:r>
        <w:t>I</w:t>
      </w:r>
      <w:r>
        <w:rPr>
          <w:rFonts w:hint="eastAsia"/>
        </w:rPr>
        <w:t>级，其技术标准应符合《钢筋机械连接技术规程》（</w:t>
      </w:r>
      <w:r>
        <w:t>JGJ107-2016</w:t>
      </w:r>
      <w:r>
        <w:rPr>
          <w:rFonts w:hint="eastAsia"/>
        </w:rPr>
        <w:t>）及《钢筋机械连接用套筒》（</w:t>
      </w:r>
      <w:r>
        <w:t>JG/T163-2013</w:t>
      </w:r>
      <w:r>
        <w:rPr>
          <w:rFonts w:hint="eastAsia"/>
        </w:rPr>
        <w:t>）的有关规定。直径</w:t>
      </w:r>
      <w:r>
        <w:t>&lt;25mm</w:t>
      </w:r>
      <w:r>
        <w:rPr>
          <w:rFonts w:hint="eastAsia"/>
        </w:rPr>
        <w:t>的钢筋除图纸中有明确要求者除外，宜按规范要求焊接连接，焊缝长度、质量满足规范要求。</w:t>
      </w:r>
    </w:p>
    <w:p w14:paraId="4B63A6B5">
      <w:pPr>
        <w:spacing w:line="360" w:lineRule="auto"/>
        <w:ind w:firstLine="420" w:firstLineChars="200"/>
        <w:rPr>
          <w:szCs w:val="21"/>
        </w:rPr>
      </w:pPr>
      <w:r>
        <w:rPr>
          <w:rFonts w:hint="eastAsia"/>
          <w:szCs w:val="21"/>
        </w:rPr>
        <w:t>（</w:t>
      </w:r>
      <w:r>
        <w:rPr>
          <w:szCs w:val="21"/>
        </w:rPr>
        <w:t>5</w:t>
      </w:r>
      <w:r>
        <w:rPr>
          <w:rFonts w:hint="eastAsia"/>
          <w:szCs w:val="21"/>
        </w:rPr>
        <w:t>）在施工过程中，应严格按照《钢筋焊接及验收规程》（</w:t>
      </w:r>
      <w:r>
        <w:rPr>
          <w:szCs w:val="21"/>
        </w:rPr>
        <w:t>JGJ18-2012</w:t>
      </w:r>
      <w:r>
        <w:rPr>
          <w:rFonts w:hint="eastAsia"/>
          <w:szCs w:val="21"/>
        </w:rPr>
        <w:t>）规定的钢筋焊接的接头形式、焊接方法、适用范围或图纸中明确的焊接方式进行钢筋的连接。钢筋接头型式应符合下列要求：</w:t>
      </w:r>
    </w:p>
    <w:p w14:paraId="5C0C045C">
      <w:pPr>
        <w:spacing w:line="360" w:lineRule="auto"/>
        <w:ind w:firstLine="420" w:firstLineChars="200"/>
        <w:rPr>
          <w:szCs w:val="21"/>
        </w:rPr>
      </w:pPr>
      <w:r>
        <w:rPr>
          <w:szCs w:val="21"/>
        </w:rPr>
        <w:t>a</w:t>
      </w:r>
      <w:r>
        <w:rPr>
          <w:rFonts w:hint="eastAsia"/>
          <w:szCs w:val="21"/>
        </w:rPr>
        <w:t>．轴心受拉和小偏心受拉构件中的钢筋接头，不宜采用绑扎；</w:t>
      </w:r>
    </w:p>
    <w:p w14:paraId="0181C21E">
      <w:pPr>
        <w:spacing w:line="360" w:lineRule="auto"/>
        <w:ind w:firstLine="420" w:firstLineChars="200"/>
        <w:rPr>
          <w:szCs w:val="21"/>
        </w:rPr>
      </w:pPr>
      <w:r>
        <w:rPr>
          <w:szCs w:val="21"/>
        </w:rPr>
        <w:t>b</w:t>
      </w:r>
      <w:r>
        <w:rPr>
          <w:rFonts w:hint="eastAsia"/>
          <w:szCs w:val="21"/>
        </w:rPr>
        <w:t>．钢筋的纵向焊接应采用闪光对焊。当缺乏条件时，可采用电弧焊、电渣压力焊、气压焊；</w:t>
      </w:r>
    </w:p>
    <w:p w14:paraId="37E889CD">
      <w:pPr>
        <w:spacing w:line="360" w:lineRule="auto"/>
        <w:ind w:firstLine="420" w:firstLineChars="200"/>
        <w:rPr>
          <w:szCs w:val="21"/>
        </w:rPr>
      </w:pPr>
      <w:r>
        <w:rPr>
          <w:szCs w:val="21"/>
        </w:rPr>
        <w:t>c</w:t>
      </w:r>
      <w:r>
        <w:rPr>
          <w:rFonts w:hint="eastAsia"/>
          <w:szCs w:val="21"/>
        </w:rPr>
        <w:t>．钢筋的交叉连接，无电阻电焊机时，可采用手工电弧焊；</w:t>
      </w:r>
    </w:p>
    <w:p w14:paraId="637E0D10">
      <w:pPr>
        <w:spacing w:line="360" w:lineRule="auto"/>
        <w:ind w:firstLine="420" w:firstLineChars="200"/>
        <w:rPr>
          <w:szCs w:val="21"/>
        </w:rPr>
      </w:pPr>
      <w:r>
        <w:rPr>
          <w:szCs w:val="21"/>
        </w:rPr>
        <w:t>d</w:t>
      </w:r>
      <w:r>
        <w:rPr>
          <w:rFonts w:hint="eastAsia"/>
          <w:szCs w:val="21"/>
        </w:rPr>
        <w:t>．电渣压力焊只适用于竖向钢筋的连接，不能做水平钢筋和斜筋的连接；</w:t>
      </w:r>
    </w:p>
    <w:p w14:paraId="4840611D">
      <w:pPr>
        <w:spacing w:line="360" w:lineRule="auto"/>
        <w:ind w:firstLine="420" w:firstLineChars="200"/>
        <w:rPr>
          <w:szCs w:val="21"/>
        </w:rPr>
      </w:pPr>
      <w:r>
        <w:rPr>
          <w:szCs w:val="21"/>
        </w:rPr>
        <w:t>e</w:t>
      </w:r>
      <w:r>
        <w:rPr>
          <w:rFonts w:hint="eastAsia"/>
          <w:szCs w:val="21"/>
        </w:rPr>
        <w:t>．钢筋接头采用搭接或帮条电弧焊时，宜采用双面焊缝。当双面焊缝无法实施时，方可采用单面焊缝；</w:t>
      </w:r>
    </w:p>
    <w:p w14:paraId="775EB3DD">
      <w:pPr>
        <w:spacing w:line="360" w:lineRule="auto"/>
        <w:ind w:firstLine="420" w:firstLineChars="200"/>
        <w:rPr>
          <w:szCs w:val="21"/>
        </w:rPr>
      </w:pPr>
      <w:r>
        <w:rPr>
          <w:szCs w:val="21"/>
        </w:rPr>
        <w:t>f</w:t>
      </w:r>
      <w:r>
        <w:rPr>
          <w:rFonts w:hint="eastAsia"/>
          <w:szCs w:val="21"/>
        </w:rPr>
        <w:t>．钢筋接头采用帮条电弧焊时，帮条应采用与主筋同级别的钢筋，其总截面面积不应小于被焊钢筋的截面积；</w:t>
      </w:r>
    </w:p>
    <w:p w14:paraId="334061AB">
      <w:pPr>
        <w:tabs>
          <w:tab w:val="left" w:pos="3120"/>
        </w:tabs>
        <w:spacing w:line="360" w:lineRule="auto"/>
        <w:ind w:firstLine="397"/>
      </w:pPr>
      <w:r>
        <w:t>2.</w:t>
      </w:r>
      <w:r>
        <w:rPr>
          <w:rFonts w:hint="eastAsia"/>
        </w:rPr>
        <w:t>焊接接头</w:t>
      </w:r>
    </w:p>
    <w:p w14:paraId="59534A0F">
      <w:pPr>
        <w:tabs>
          <w:tab w:val="left" w:pos="3120"/>
        </w:tabs>
        <w:spacing w:line="360" w:lineRule="auto"/>
        <w:ind w:firstLine="397"/>
      </w:pPr>
      <w:r>
        <w:rPr>
          <w:rFonts w:hint="eastAsia"/>
        </w:rPr>
        <w:t>第（</w:t>
      </w:r>
      <w:r>
        <w:t>3</w:t>
      </w:r>
      <w:r>
        <w:rPr>
          <w:rFonts w:hint="eastAsia"/>
        </w:rPr>
        <w:t>）款修改为：</w:t>
      </w:r>
    </w:p>
    <w:p w14:paraId="5F4A97D3">
      <w:pPr>
        <w:spacing w:line="360" w:lineRule="auto"/>
        <w:ind w:firstLine="420" w:firstLineChars="200"/>
        <w:rPr>
          <w:bCs/>
          <w:szCs w:val="21"/>
        </w:rPr>
      </w:pPr>
      <w:r>
        <w:rPr>
          <w:rFonts w:hint="eastAsia"/>
          <w:szCs w:val="21"/>
        </w:rPr>
        <w:t>（</w:t>
      </w:r>
      <w:r>
        <w:rPr>
          <w:szCs w:val="21"/>
        </w:rPr>
        <w:t>3</w:t>
      </w:r>
      <w:r>
        <w:rPr>
          <w:rFonts w:hint="eastAsia"/>
          <w:szCs w:val="21"/>
        </w:rPr>
        <w:t>）</w:t>
      </w:r>
      <w:r>
        <w:rPr>
          <w:rFonts w:hint="eastAsia"/>
          <w:bCs/>
          <w:szCs w:val="21"/>
        </w:rPr>
        <w:t>钢筋的纵向焊接，应采用闪光对焊；当缺乏闪光对焊条件时，可采用电弧焊（帮条焊、搭接焊）。钢筋焊接接头应符合《钢筋焊接及验收规程》（</w:t>
      </w:r>
      <w:r>
        <w:rPr>
          <w:bCs/>
          <w:szCs w:val="21"/>
        </w:rPr>
        <w:t>JGJ18</w:t>
      </w:r>
      <w:r>
        <w:rPr>
          <w:rFonts w:hint="eastAsia"/>
          <w:bCs/>
          <w:szCs w:val="21"/>
        </w:rPr>
        <w:t>－</w:t>
      </w:r>
      <w:r>
        <w:rPr>
          <w:szCs w:val="21"/>
        </w:rPr>
        <w:t>2012</w:t>
      </w:r>
      <w:r>
        <w:rPr>
          <w:rFonts w:hint="eastAsia"/>
          <w:bCs/>
          <w:szCs w:val="21"/>
        </w:rPr>
        <w:t>）的规定。</w:t>
      </w:r>
    </w:p>
    <w:p w14:paraId="3B66EB42">
      <w:pPr>
        <w:spacing w:line="360" w:lineRule="auto"/>
        <w:ind w:firstLine="420" w:firstLineChars="200"/>
        <w:rPr>
          <w:bCs/>
          <w:szCs w:val="21"/>
        </w:rPr>
      </w:pPr>
      <w:r>
        <w:rPr>
          <w:rFonts w:hint="eastAsia"/>
          <w:bCs/>
          <w:szCs w:val="21"/>
        </w:rPr>
        <w:t>第（</w:t>
      </w:r>
      <w:r>
        <w:rPr>
          <w:bCs/>
          <w:szCs w:val="21"/>
        </w:rPr>
        <w:t>6</w:t>
      </w:r>
      <w:r>
        <w:rPr>
          <w:rFonts w:hint="eastAsia"/>
          <w:bCs/>
          <w:szCs w:val="21"/>
        </w:rPr>
        <w:t>）款</w:t>
      </w:r>
      <w:r>
        <w:rPr>
          <w:bCs/>
          <w:szCs w:val="21"/>
        </w:rPr>
        <w:t>c</w:t>
      </w:r>
      <w:r>
        <w:rPr>
          <w:rFonts w:hint="eastAsia"/>
          <w:bCs/>
          <w:szCs w:val="21"/>
        </w:rPr>
        <w:t>项修改为：</w:t>
      </w:r>
    </w:p>
    <w:p w14:paraId="710184DB">
      <w:pPr>
        <w:spacing w:line="360" w:lineRule="auto"/>
        <w:ind w:firstLine="420" w:firstLineChars="200"/>
        <w:rPr>
          <w:bCs/>
          <w:szCs w:val="21"/>
        </w:rPr>
      </w:pPr>
      <w:r>
        <w:rPr>
          <w:bCs/>
          <w:szCs w:val="21"/>
        </w:rPr>
        <w:t>c.</w:t>
      </w:r>
      <w:r>
        <w:t xml:space="preserve"> </w:t>
      </w:r>
      <w:r>
        <w:rPr>
          <w:rFonts w:hint="eastAsia"/>
          <w:bCs/>
          <w:szCs w:val="21"/>
        </w:rPr>
        <w:t>如钢筋种类和直径有变动，或焊工有变换，应对建立的焊接参数进行校核，其方法是取两根钢筋试样进行</w:t>
      </w:r>
      <w:r>
        <w:rPr>
          <w:bCs/>
          <w:szCs w:val="21"/>
        </w:rPr>
        <w:t>90°</w:t>
      </w:r>
      <w:r>
        <w:rPr>
          <w:rFonts w:hint="eastAsia"/>
          <w:bCs/>
          <w:szCs w:val="21"/>
        </w:rPr>
        <w:t>冷弯试验。</w:t>
      </w:r>
      <w:r>
        <w:rPr>
          <w:bCs/>
          <w:szCs w:val="21"/>
        </w:rPr>
        <w:t>90°</w:t>
      </w:r>
      <w:r>
        <w:rPr>
          <w:rFonts w:hint="eastAsia"/>
          <w:bCs/>
          <w:szCs w:val="21"/>
        </w:rPr>
        <w:t>冷弯围绕一固定的梢进行，</w:t>
      </w:r>
      <w:r>
        <w:rPr>
          <w:bCs/>
          <w:szCs w:val="21"/>
        </w:rPr>
        <w:t>HPB300</w:t>
      </w:r>
      <w:r>
        <w:rPr>
          <w:rFonts w:hint="eastAsia"/>
          <w:bCs/>
          <w:szCs w:val="21"/>
        </w:rPr>
        <w:t>钢筋冷弯直径为</w:t>
      </w:r>
      <w:r>
        <w:rPr>
          <w:bCs/>
          <w:szCs w:val="21"/>
        </w:rPr>
        <w:t>2</w:t>
      </w:r>
      <w:r>
        <w:rPr>
          <w:rFonts w:hint="eastAsia"/>
          <w:bCs/>
          <w:szCs w:val="21"/>
        </w:rPr>
        <w:t>倍钢筋直径，</w:t>
      </w:r>
      <w:r>
        <w:rPr>
          <w:bCs/>
          <w:szCs w:val="21"/>
        </w:rPr>
        <w:t xml:space="preserve"> HRB400</w:t>
      </w:r>
      <w:r>
        <w:rPr>
          <w:rFonts w:hint="eastAsia"/>
          <w:bCs/>
          <w:szCs w:val="21"/>
        </w:rPr>
        <w:t>钢筋为</w:t>
      </w:r>
      <w:r>
        <w:rPr>
          <w:bCs/>
          <w:szCs w:val="21"/>
        </w:rPr>
        <w:t>5</w:t>
      </w:r>
      <w:r>
        <w:rPr>
          <w:rFonts w:hint="eastAsia"/>
          <w:bCs/>
          <w:szCs w:val="21"/>
        </w:rPr>
        <w:t>倍钢筋直径。当钢筋直径大于</w:t>
      </w:r>
      <w:r>
        <w:rPr>
          <w:bCs/>
          <w:szCs w:val="21"/>
        </w:rPr>
        <w:t>25mm</w:t>
      </w:r>
      <w:r>
        <w:rPr>
          <w:rFonts w:hint="eastAsia"/>
          <w:bCs/>
          <w:szCs w:val="21"/>
        </w:rPr>
        <w:t>时，冷弯直径增加一个钢筋直径。对焊接头弯曲试验时，应将受压面的金属毛刺和因焊接而增厚部分削除，且与母材的外表齐平，焊缝应处于弯曲中心。</w:t>
      </w:r>
    </w:p>
    <w:p w14:paraId="6ECEC891">
      <w:pPr>
        <w:tabs>
          <w:tab w:val="left" w:pos="3120"/>
        </w:tabs>
        <w:spacing w:line="360" w:lineRule="auto"/>
        <w:ind w:firstLine="397"/>
      </w:pPr>
      <w:r>
        <w:rPr>
          <w:rFonts w:hint="eastAsia"/>
        </w:rPr>
        <w:t>第（</w:t>
      </w:r>
      <w:r>
        <w:t>6</w:t>
      </w:r>
      <w:r>
        <w:rPr>
          <w:rFonts w:hint="eastAsia"/>
        </w:rPr>
        <w:t>）款补充第</w:t>
      </w:r>
      <w:r>
        <w:t>d</w:t>
      </w:r>
      <w:r>
        <w:rPr>
          <w:rFonts w:hint="eastAsia"/>
        </w:rPr>
        <w:t>、</w:t>
      </w:r>
      <w:r>
        <w:t>e</w:t>
      </w:r>
      <w:r>
        <w:rPr>
          <w:rFonts w:hint="eastAsia"/>
        </w:rPr>
        <w:t>项：</w:t>
      </w:r>
    </w:p>
    <w:p w14:paraId="48E0ED92">
      <w:pPr>
        <w:spacing w:line="360" w:lineRule="auto"/>
        <w:ind w:firstLine="420" w:firstLineChars="200"/>
        <w:rPr>
          <w:szCs w:val="21"/>
        </w:rPr>
      </w:pPr>
      <w:r>
        <w:rPr>
          <w:bCs/>
          <w:szCs w:val="21"/>
        </w:rPr>
        <w:t>d</w:t>
      </w:r>
      <w:r>
        <w:rPr>
          <w:rFonts w:hint="eastAsia"/>
          <w:szCs w:val="21"/>
        </w:rPr>
        <w:t>．各种焊条在运输和存放中，应采取防止受潮变质的措施，存放在干燥的库房内。焊接中不得使用受潮变质的焊条，雨雪天气不能露天焊接，平时应保持焊接工作区域内环境干燥清洁。当采用低氢型碱性焊条时，使用前应按说明书的要求烘焙，干燥后放入保温桶内保温使用；采用酸性焊条时，如受潮，在使用前应烘培后再使用。</w:t>
      </w:r>
    </w:p>
    <w:p w14:paraId="7F29C3C3">
      <w:pPr>
        <w:spacing w:line="360" w:lineRule="auto"/>
        <w:ind w:firstLine="420" w:firstLineChars="200"/>
        <w:rPr>
          <w:szCs w:val="21"/>
        </w:rPr>
      </w:pPr>
      <w:r>
        <w:rPr>
          <w:szCs w:val="21"/>
        </w:rPr>
        <w:t>e</w:t>
      </w:r>
      <w:r>
        <w:rPr>
          <w:rFonts w:hint="eastAsia"/>
          <w:szCs w:val="21"/>
        </w:rPr>
        <w:t>．必须严格按设计要求选择焊接的焊条、焊剂，确保焊条的型号、材质性能、适用范围与钢筋规格种类相匹配。</w:t>
      </w:r>
    </w:p>
    <w:p w14:paraId="2F52DD1D">
      <w:pPr>
        <w:tabs>
          <w:tab w:val="left" w:pos="3120"/>
        </w:tabs>
        <w:spacing w:line="360" w:lineRule="auto"/>
        <w:ind w:firstLine="397"/>
      </w:pPr>
      <w:r>
        <w:t xml:space="preserve">3. </w:t>
      </w:r>
      <w:r>
        <w:rPr>
          <w:rFonts w:hint="eastAsia"/>
        </w:rPr>
        <w:t>绑扎搭接接头</w:t>
      </w:r>
    </w:p>
    <w:p w14:paraId="3FBFE4D5">
      <w:pPr>
        <w:tabs>
          <w:tab w:val="left" w:pos="3120"/>
        </w:tabs>
        <w:spacing w:line="360" w:lineRule="auto"/>
        <w:ind w:firstLine="397"/>
      </w:pPr>
      <w:r>
        <w:rPr>
          <w:rFonts w:hint="eastAsia"/>
        </w:rPr>
        <w:t>第（</w:t>
      </w:r>
      <w:r>
        <w:t>1</w:t>
      </w:r>
      <w:r>
        <w:rPr>
          <w:rFonts w:hint="eastAsia"/>
        </w:rPr>
        <w:t>）款修改为：</w:t>
      </w:r>
    </w:p>
    <w:p w14:paraId="3695C8E2">
      <w:pPr>
        <w:tabs>
          <w:tab w:val="left" w:pos="3120"/>
        </w:tabs>
        <w:spacing w:line="360" w:lineRule="auto"/>
        <w:ind w:firstLine="397"/>
      </w:pPr>
      <w:r>
        <w:rPr>
          <w:rFonts w:hint="eastAsia"/>
        </w:rPr>
        <w:t>（</w:t>
      </w:r>
      <w:r>
        <w:t>1</w:t>
      </w:r>
      <w:r>
        <w:rPr>
          <w:rFonts w:hint="eastAsia"/>
        </w:rPr>
        <w:t>）</w:t>
      </w:r>
      <w:r>
        <w:t xml:space="preserve"> </w:t>
      </w:r>
      <w:r>
        <w:rPr>
          <w:rFonts w:hint="eastAsia"/>
        </w:rPr>
        <w:t>绑扎搭接，除图纸所示或监理人同意（当无焊接及机械接头条件时，且钢筋直径</w:t>
      </w:r>
      <w:r>
        <w:rPr>
          <w:rFonts w:hint="eastAsia" w:ascii="宋体" w:hAnsi="宋体" w:cs="宋体"/>
        </w:rPr>
        <w:t>≤</w:t>
      </w:r>
      <w:r>
        <w:t>25mm</w:t>
      </w:r>
      <w:r>
        <w:rPr>
          <w:rFonts w:hint="eastAsia"/>
        </w:rPr>
        <w:t>）外，一般不宜采用。绑扎搭接长度不应小于表</w:t>
      </w:r>
      <w:r>
        <w:t xml:space="preserve">403-3 </w:t>
      </w:r>
      <w:r>
        <w:rPr>
          <w:rFonts w:hint="eastAsia"/>
        </w:rPr>
        <w:t>的规定。在受拉区，光圆钢筋绑扎接头末端应设</w:t>
      </w:r>
      <w:r>
        <w:t>180°</w:t>
      </w:r>
      <w:r>
        <w:rPr>
          <w:rFonts w:hint="eastAsia"/>
        </w:rPr>
        <w:t>弯钩，带肋钢筋的绑扎接头末端可不做弯钩。受压带肋钢筋绑扎接头的搭接长度，应取受拉钢筋绑扎接头搭接长度的</w:t>
      </w:r>
      <w:r>
        <w:t>0.7</w:t>
      </w:r>
      <w:r>
        <w:rPr>
          <w:rFonts w:hint="eastAsia"/>
        </w:rPr>
        <w:t>倍。</w:t>
      </w:r>
    </w:p>
    <w:p w14:paraId="09F07535">
      <w:pPr>
        <w:tabs>
          <w:tab w:val="left" w:pos="3120"/>
        </w:tabs>
        <w:spacing w:line="360" w:lineRule="auto"/>
        <w:ind w:firstLine="397"/>
        <w:jc w:val="center"/>
        <w:rPr>
          <w:b/>
        </w:rPr>
      </w:pPr>
      <w:r>
        <w:rPr>
          <w:rFonts w:hint="eastAsia"/>
          <w:b/>
        </w:rPr>
        <w:t>受拉钢筋绑扎接头的搭接长度</w:t>
      </w:r>
      <w:r>
        <w:rPr>
          <w:b/>
        </w:rPr>
        <w:t xml:space="preserve"> </w:t>
      </w:r>
      <w:r>
        <w:rPr>
          <w:rFonts w:hint="eastAsia"/>
          <w:b/>
        </w:rPr>
        <w:t>表</w:t>
      </w:r>
      <w:r>
        <w:rPr>
          <w:b/>
        </w:rPr>
        <w:t>403-3</w:t>
      </w: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09"/>
        <w:gridCol w:w="1843"/>
        <w:gridCol w:w="1701"/>
        <w:gridCol w:w="1809"/>
      </w:tblGrid>
      <w:tr w14:paraId="2A3037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409" w:type="dxa"/>
            <w:shd w:val="clear" w:color="auto" w:fill="auto"/>
          </w:tcPr>
          <w:p w14:paraId="74E33306">
            <w:pPr>
              <w:tabs>
                <w:tab w:val="left" w:pos="3120"/>
              </w:tabs>
              <w:spacing w:line="360" w:lineRule="auto"/>
              <w:jc w:val="center"/>
            </w:pPr>
            <w:r>
              <w:rPr>
                <w:rFonts w:hint="eastAsia"/>
              </w:rPr>
              <w:t>钢筋类型</w:t>
            </w:r>
          </w:p>
        </w:tc>
        <w:tc>
          <w:tcPr>
            <w:tcW w:w="3544" w:type="dxa"/>
            <w:gridSpan w:val="2"/>
            <w:shd w:val="clear" w:color="auto" w:fill="auto"/>
          </w:tcPr>
          <w:p w14:paraId="13ADDD25">
            <w:pPr>
              <w:tabs>
                <w:tab w:val="left" w:pos="3120"/>
              </w:tabs>
              <w:spacing w:line="360" w:lineRule="auto"/>
              <w:jc w:val="center"/>
            </w:pPr>
            <w:r>
              <w:t>HPB300</w:t>
            </w:r>
          </w:p>
        </w:tc>
        <w:tc>
          <w:tcPr>
            <w:tcW w:w="1809" w:type="dxa"/>
            <w:shd w:val="clear" w:color="auto" w:fill="auto"/>
          </w:tcPr>
          <w:p w14:paraId="557CBE35">
            <w:pPr>
              <w:tabs>
                <w:tab w:val="left" w:pos="3120"/>
              </w:tabs>
              <w:spacing w:line="360" w:lineRule="auto"/>
              <w:jc w:val="center"/>
            </w:pPr>
            <w:r>
              <w:t>HRB400</w:t>
            </w:r>
          </w:p>
        </w:tc>
      </w:tr>
      <w:tr w14:paraId="5E7AE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409" w:type="dxa"/>
            <w:shd w:val="clear" w:color="auto" w:fill="auto"/>
          </w:tcPr>
          <w:p w14:paraId="5E652691">
            <w:pPr>
              <w:tabs>
                <w:tab w:val="left" w:pos="3120"/>
              </w:tabs>
              <w:spacing w:line="360" w:lineRule="auto"/>
              <w:jc w:val="center"/>
            </w:pPr>
            <w:r>
              <w:rPr>
                <w:rFonts w:hint="eastAsia"/>
              </w:rPr>
              <w:t>混凝土强度等级</w:t>
            </w:r>
          </w:p>
        </w:tc>
        <w:tc>
          <w:tcPr>
            <w:tcW w:w="1843" w:type="dxa"/>
            <w:shd w:val="clear" w:color="auto" w:fill="auto"/>
          </w:tcPr>
          <w:p w14:paraId="075C857F">
            <w:pPr>
              <w:tabs>
                <w:tab w:val="left" w:pos="3120"/>
              </w:tabs>
              <w:spacing w:line="360" w:lineRule="auto"/>
              <w:jc w:val="center"/>
            </w:pPr>
            <w:r>
              <w:t>C25</w:t>
            </w:r>
          </w:p>
        </w:tc>
        <w:tc>
          <w:tcPr>
            <w:tcW w:w="1701" w:type="dxa"/>
            <w:shd w:val="clear" w:color="auto" w:fill="auto"/>
          </w:tcPr>
          <w:p w14:paraId="0A41DDBE">
            <w:pPr>
              <w:tabs>
                <w:tab w:val="left" w:pos="3120"/>
              </w:tabs>
              <w:spacing w:line="360" w:lineRule="auto"/>
              <w:jc w:val="center"/>
            </w:pPr>
            <w:r>
              <w:rPr>
                <w:rFonts w:hint="eastAsia" w:ascii="宋体" w:hAnsi="宋体" w:cs="宋体"/>
              </w:rPr>
              <w:t>≥</w:t>
            </w:r>
            <w:r>
              <w:t>30</w:t>
            </w:r>
          </w:p>
        </w:tc>
        <w:tc>
          <w:tcPr>
            <w:tcW w:w="1809" w:type="dxa"/>
            <w:shd w:val="clear" w:color="auto" w:fill="auto"/>
          </w:tcPr>
          <w:p w14:paraId="29CF8FCA">
            <w:pPr>
              <w:tabs>
                <w:tab w:val="left" w:pos="3120"/>
              </w:tabs>
              <w:spacing w:line="360" w:lineRule="auto"/>
              <w:jc w:val="center"/>
            </w:pPr>
            <w:r>
              <w:rPr>
                <w:rFonts w:hint="eastAsia" w:ascii="宋体" w:hAnsi="宋体" w:cs="宋体"/>
              </w:rPr>
              <w:t>≥</w:t>
            </w:r>
            <w:r>
              <w:t>30</w:t>
            </w:r>
          </w:p>
        </w:tc>
      </w:tr>
      <w:tr w14:paraId="46FB51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409" w:type="dxa"/>
            <w:shd w:val="clear" w:color="auto" w:fill="auto"/>
          </w:tcPr>
          <w:p w14:paraId="21D6117A">
            <w:pPr>
              <w:tabs>
                <w:tab w:val="left" w:pos="3120"/>
              </w:tabs>
              <w:spacing w:line="360" w:lineRule="auto"/>
              <w:jc w:val="center"/>
            </w:pPr>
            <w:r>
              <w:rPr>
                <w:rFonts w:hint="eastAsia"/>
              </w:rPr>
              <w:t>搭接长度（</w:t>
            </w:r>
            <w:r>
              <w:t>mm</w:t>
            </w:r>
            <w:r>
              <w:rPr>
                <w:rFonts w:hint="eastAsia"/>
              </w:rPr>
              <w:t>）</w:t>
            </w:r>
          </w:p>
        </w:tc>
        <w:tc>
          <w:tcPr>
            <w:tcW w:w="1843" w:type="dxa"/>
            <w:shd w:val="clear" w:color="auto" w:fill="auto"/>
          </w:tcPr>
          <w:p w14:paraId="3A6AB79D">
            <w:pPr>
              <w:tabs>
                <w:tab w:val="left" w:pos="3120"/>
              </w:tabs>
              <w:spacing w:line="360" w:lineRule="auto"/>
              <w:jc w:val="center"/>
            </w:pPr>
            <w:r>
              <w:t>40d</w:t>
            </w:r>
          </w:p>
        </w:tc>
        <w:tc>
          <w:tcPr>
            <w:tcW w:w="1701" w:type="dxa"/>
            <w:shd w:val="clear" w:color="auto" w:fill="auto"/>
          </w:tcPr>
          <w:p w14:paraId="60A4393B">
            <w:pPr>
              <w:tabs>
                <w:tab w:val="left" w:pos="3120"/>
              </w:tabs>
              <w:spacing w:line="360" w:lineRule="auto"/>
              <w:jc w:val="center"/>
            </w:pPr>
            <w:r>
              <w:t>35d</w:t>
            </w:r>
          </w:p>
        </w:tc>
        <w:tc>
          <w:tcPr>
            <w:tcW w:w="1809" w:type="dxa"/>
            <w:shd w:val="clear" w:color="auto" w:fill="auto"/>
          </w:tcPr>
          <w:p w14:paraId="285307ED">
            <w:pPr>
              <w:tabs>
                <w:tab w:val="left" w:pos="3120"/>
              </w:tabs>
              <w:spacing w:line="360" w:lineRule="auto"/>
              <w:jc w:val="center"/>
            </w:pPr>
            <w:r>
              <w:t>45d</w:t>
            </w:r>
          </w:p>
        </w:tc>
      </w:tr>
    </w:tbl>
    <w:p w14:paraId="3EC701A2">
      <w:pPr>
        <w:tabs>
          <w:tab w:val="left" w:pos="3120"/>
        </w:tabs>
        <w:spacing w:line="360" w:lineRule="auto"/>
        <w:ind w:firstLine="397"/>
      </w:pPr>
      <w:r>
        <w:rPr>
          <w:rFonts w:hint="eastAsia"/>
        </w:rPr>
        <w:t>注：</w:t>
      </w:r>
      <w:r>
        <w:rPr>
          <w:rFonts w:hint="eastAsia" w:ascii="宋体" w:hAnsi="宋体" w:cs="宋体"/>
        </w:rPr>
        <w:t>①</w:t>
      </w:r>
      <w:r>
        <w:rPr>
          <w:rFonts w:hint="eastAsia"/>
        </w:rPr>
        <w:t>表中</w:t>
      </w:r>
      <w:r>
        <w:t>d</w:t>
      </w:r>
      <w:r>
        <w:rPr>
          <w:rFonts w:hint="eastAsia"/>
        </w:rPr>
        <w:t>为钢筋直径。</w:t>
      </w:r>
    </w:p>
    <w:p w14:paraId="748F6646">
      <w:pPr>
        <w:tabs>
          <w:tab w:val="left" w:pos="3120"/>
        </w:tabs>
        <w:spacing w:line="360" w:lineRule="auto"/>
        <w:ind w:firstLine="397"/>
      </w:pPr>
      <w:r>
        <w:rPr>
          <w:rFonts w:hint="eastAsia" w:ascii="宋体" w:hAnsi="宋体" w:cs="宋体"/>
        </w:rPr>
        <w:t>②</w:t>
      </w:r>
      <w:r>
        <w:rPr>
          <w:rFonts w:hint="eastAsia"/>
        </w:rPr>
        <w:t>当带肋钢筋直径</w:t>
      </w:r>
      <w:r>
        <w:t>d</w:t>
      </w:r>
      <w:r>
        <w:rPr>
          <w:rFonts w:hint="eastAsia"/>
        </w:rPr>
        <w:t>大于</w:t>
      </w:r>
      <w:r>
        <w:t>25mm</w:t>
      </w:r>
      <w:r>
        <w:rPr>
          <w:rFonts w:hint="eastAsia"/>
        </w:rPr>
        <w:t>时，其受拉钢筋的搭接长度应按表中值增加</w:t>
      </w:r>
      <w:r>
        <w:t>5d</w:t>
      </w:r>
      <w:r>
        <w:rPr>
          <w:rFonts w:hint="eastAsia"/>
        </w:rPr>
        <w:t>采用；当带肋钢筋直径</w:t>
      </w:r>
      <w:r>
        <w:t>d</w:t>
      </w:r>
      <w:r>
        <w:rPr>
          <w:rFonts w:hint="eastAsia"/>
        </w:rPr>
        <w:t>小于或等于</w:t>
      </w:r>
      <w:r>
        <w:t>25mm</w:t>
      </w:r>
      <w:r>
        <w:rPr>
          <w:rFonts w:hint="eastAsia"/>
        </w:rPr>
        <w:t>时，其受拉钢筋的搭接长度可按表中值减少</w:t>
      </w:r>
      <w:r>
        <w:t>5d</w:t>
      </w:r>
      <w:r>
        <w:rPr>
          <w:rFonts w:hint="eastAsia"/>
        </w:rPr>
        <w:t>采用。</w:t>
      </w:r>
    </w:p>
    <w:p w14:paraId="6CFE1294">
      <w:pPr>
        <w:tabs>
          <w:tab w:val="left" w:pos="3120"/>
        </w:tabs>
        <w:spacing w:line="360" w:lineRule="auto"/>
        <w:ind w:firstLine="397"/>
      </w:pPr>
      <w:r>
        <w:rPr>
          <w:rFonts w:hint="eastAsia" w:ascii="宋体" w:hAnsi="宋体" w:cs="宋体"/>
        </w:rPr>
        <w:t>③</w:t>
      </w:r>
      <w:r>
        <w:rPr>
          <w:rFonts w:hint="eastAsia"/>
        </w:rPr>
        <w:t>当混凝土在凝固过程中受力钢筋易受扰动时，其搭接长度应增加</w:t>
      </w:r>
      <w:r>
        <w:t>5d</w:t>
      </w:r>
      <w:r>
        <w:rPr>
          <w:rFonts w:hint="eastAsia"/>
        </w:rPr>
        <w:t>。</w:t>
      </w:r>
    </w:p>
    <w:p w14:paraId="322A72D7">
      <w:pPr>
        <w:tabs>
          <w:tab w:val="left" w:pos="3120"/>
        </w:tabs>
        <w:spacing w:line="360" w:lineRule="auto"/>
        <w:ind w:firstLine="397"/>
      </w:pPr>
      <w:r>
        <w:rPr>
          <w:rFonts w:hint="eastAsia" w:ascii="宋体" w:hAnsi="宋体" w:cs="宋体"/>
        </w:rPr>
        <w:t>④</w:t>
      </w:r>
      <w:r>
        <w:rPr>
          <w:rFonts w:hint="eastAsia"/>
        </w:rPr>
        <w:t>在任何情况下，纵向受拉钢筋的搭接长度应不小于</w:t>
      </w:r>
      <w:r>
        <w:t>300mm</w:t>
      </w:r>
      <w:r>
        <w:rPr>
          <w:rFonts w:hint="eastAsia"/>
        </w:rPr>
        <w:t>，受压钢筋的搭接长度应不小于</w:t>
      </w:r>
      <w:r>
        <w:t>200mm</w:t>
      </w:r>
      <w:r>
        <w:rPr>
          <w:rFonts w:hint="eastAsia"/>
        </w:rPr>
        <w:t>。</w:t>
      </w:r>
    </w:p>
    <w:p w14:paraId="32AA92D0">
      <w:pPr>
        <w:tabs>
          <w:tab w:val="left" w:pos="3120"/>
        </w:tabs>
        <w:spacing w:line="360" w:lineRule="auto"/>
        <w:ind w:firstLine="397"/>
      </w:pPr>
      <w:r>
        <w:rPr>
          <w:rFonts w:hint="eastAsia" w:ascii="宋体" w:hAnsi="宋体" w:cs="宋体"/>
        </w:rPr>
        <w:t>⑤</w:t>
      </w:r>
      <w:r>
        <w:rPr>
          <w:rFonts w:hint="eastAsia"/>
        </w:rPr>
        <w:t>环氧树脂涂层钢筋的绑扎接头搭接长度，受拉钢筋按表值的</w:t>
      </w:r>
      <w:r>
        <w:t>1.5</w:t>
      </w:r>
      <w:r>
        <w:rPr>
          <w:rFonts w:hint="eastAsia"/>
        </w:rPr>
        <w:t>倍采用。</w:t>
      </w:r>
    </w:p>
    <w:p w14:paraId="1B8576E0">
      <w:pPr>
        <w:tabs>
          <w:tab w:val="left" w:pos="3120"/>
        </w:tabs>
        <w:spacing w:line="360" w:lineRule="auto"/>
        <w:ind w:firstLine="397"/>
      </w:pPr>
      <w:r>
        <w:rPr>
          <w:rFonts w:hint="eastAsia" w:ascii="宋体" w:hAnsi="宋体" w:cs="宋体"/>
        </w:rPr>
        <w:t>⑥</w:t>
      </w:r>
      <w:r>
        <w:rPr>
          <w:rFonts w:hint="eastAsia"/>
        </w:rPr>
        <w:t>两根不同直径钢筋的搭接长度，以较细的钢筋直径计算。</w:t>
      </w:r>
    </w:p>
    <w:p w14:paraId="3759B296">
      <w:pPr>
        <w:tabs>
          <w:tab w:val="left" w:pos="3120"/>
        </w:tabs>
        <w:spacing w:line="360" w:lineRule="auto"/>
        <w:ind w:firstLine="397"/>
      </w:pPr>
      <w:r>
        <w:t>4</w:t>
      </w:r>
      <w:r>
        <w:rPr>
          <w:rFonts w:hint="eastAsia"/>
        </w:rPr>
        <w:t>．钢筋机械连接接头（简称机械接头）</w:t>
      </w:r>
    </w:p>
    <w:p w14:paraId="64FC4547">
      <w:pPr>
        <w:tabs>
          <w:tab w:val="left" w:pos="3120"/>
        </w:tabs>
        <w:spacing w:line="360" w:lineRule="auto"/>
        <w:ind w:firstLine="397"/>
      </w:pPr>
      <w:r>
        <w:rPr>
          <w:rFonts w:hint="eastAsia"/>
        </w:rPr>
        <w:t>（</w:t>
      </w:r>
      <w:r>
        <w:t>1</w:t>
      </w:r>
      <w:r>
        <w:rPr>
          <w:rFonts w:hint="eastAsia"/>
        </w:rPr>
        <w:t>）一般规定</w:t>
      </w:r>
    </w:p>
    <w:p w14:paraId="75D87BC1">
      <w:pPr>
        <w:tabs>
          <w:tab w:val="left" w:pos="3120"/>
        </w:tabs>
        <w:spacing w:line="360" w:lineRule="auto"/>
        <w:ind w:firstLine="397"/>
      </w:pPr>
      <w:r>
        <w:rPr>
          <w:rFonts w:hint="eastAsia"/>
        </w:rPr>
        <w:t>第</w:t>
      </w:r>
      <w:r>
        <w:t>a</w:t>
      </w:r>
      <w:r>
        <w:rPr>
          <w:rFonts w:hint="eastAsia"/>
        </w:rPr>
        <w:t>、</w:t>
      </w:r>
      <w:r>
        <w:t>d</w:t>
      </w:r>
      <w:r>
        <w:rPr>
          <w:rFonts w:hint="eastAsia"/>
        </w:rPr>
        <w:t>、</w:t>
      </w:r>
      <w:r>
        <w:t>f</w:t>
      </w:r>
      <w:r>
        <w:rPr>
          <w:rFonts w:hint="eastAsia"/>
        </w:rPr>
        <w:t>项修改为：</w:t>
      </w:r>
    </w:p>
    <w:p w14:paraId="1B54658E">
      <w:pPr>
        <w:tabs>
          <w:tab w:val="left" w:pos="3120"/>
        </w:tabs>
        <w:spacing w:line="360" w:lineRule="auto"/>
        <w:ind w:firstLine="397"/>
      </w:pPr>
      <w:r>
        <w:t>a.</w:t>
      </w:r>
      <w:r>
        <w:rPr>
          <w:rFonts w:hint="eastAsia"/>
        </w:rPr>
        <w:t>使用机械接头时宜采用套简挤压接头、滚轧直螺纹接头和镦粗直螺纹接头，应符合《钢筋机械连接技术规程》（</w:t>
      </w:r>
      <w:r>
        <w:t>JGJ107-2016</w:t>
      </w:r>
      <w:r>
        <w:rPr>
          <w:rFonts w:hint="eastAsia"/>
        </w:rPr>
        <w:t>）的规定。</w:t>
      </w:r>
    </w:p>
    <w:p w14:paraId="25718D41">
      <w:pPr>
        <w:tabs>
          <w:tab w:val="left" w:pos="3120"/>
        </w:tabs>
        <w:spacing w:line="360" w:lineRule="auto"/>
        <w:ind w:firstLine="397"/>
      </w:pPr>
      <w:r>
        <w:t>d.</w:t>
      </w:r>
      <w:r>
        <w:rPr>
          <w:rFonts w:hint="eastAsia"/>
        </w:rPr>
        <w:t>钢筋机械连接接头的等级应选用</w:t>
      </w:r>
      <w:r>
        <w:t>I</w:t>
      </w:r>
      <w:r>
        <w:rPr>
          <w:rFonts w:hint="eastAsia"/>
        </w:rPr>
        <w:t>级或Ⅱ级，接头的性能指标应符合《公路桥涵施工技术规范》（</w:t>
      </w:r>
      <w:r>
        <w:t>JTG/T3650-2020</w:t>
      </w:r>
      <w:r>
        <w:rPr>
          <w:rFonts w:hint="eastAsia"/>
        </w:rPr>
        <w:t>）附录</w:t>
      </w:r>
      <w:r>
        <w:t>B</w:t>
      </w:r>
      <w:r>
        <w:rPr>
          <w:rFonts w:hint="eastAsia"/>
        </w:rPr>
        <w:t>的规定。</w:t>
      </w:r>
    </w:p>
    <w:p w14:paraId="695CE0DF">
      <w:pPr>
        <w:tabs>
          <w:tab w:val="left" w:pos="3120"/>
        </w:tabs>
        <w:spacing w:line="360" w:lineRule="auto"/>
        <w:ind w:firstLine="397"/>
      </w:pPr>
      <w:r>
        <w:t>f.</w:t>
      </w:r>
      <w:r>
        <w:rPr>
          <w:rFonts w:hint="eastAsia"/>
        </w:rPr>
        <w:t>钢筋连接件的混凝土保护层厚度应满足本规范第</w:t>
      </w:r>
      <w:r>
        <w:t>410</w:t>
      </w:r>
      <w:r>
        <w:rPr>
          <w:rFonts w:hint="eastAsia"/>
        </w:rPr>
        <w:t>节规定的最小厚度的要求，且不得小于</w:t>
      </w:r>
      <w:r>
        <w:t>20mm</w:t>
      </w:r>
      <w:r>
        <w:rPr>
          <w:rFonts w:hint="eastAsia"/>
        </w:rPr>
        <w:t>。连接件之间的横向净距不宜小于</w:t>
      </w:r>
      <w:r>
        <w:t>25mm</w:t>
      </w:r>
      <w:r>
        <w:rPr>
          <w:rFonts w:hint="eastAsia"/>
        </w:rPr>
        <w:t>。</w:t>
      </w:r>
    </w:p>
    <w:p w14:paraId="75D82C4D">
      <w:pPr>
        <w:tabs>
          <w:tab w:val="left" w:pos="3120"/>
        </w:tabs>
        <w:spacing w:line="360" w:lineRule="auto"/>
        <w:ind w:firstLine="397"/>
      </w:pPr>
      <w:r>
        <w:rPr>
          <w:rFonts w:hint="eastAsia"/>
        </w:rPr>
        <w:t>（</w:t>
      </w:r>
      <w:r>
        <w:t>4</w:t>
      </w:r>
      <w:r>
        <w:rPr>
          <w:rFonts w:hint="eastAsia"/>
        </w:rPr>
        <w:t>）镦粗直螺纹钢筋接头</w:t>
      </w:r>
    </w:p>
    <w:p w14:paraId="45622601">
      <w:pPr>
        <w:tabs>
          <w:tab w:val="left" w:pos="3120"/>
        </w:tabs>
        <w:spacing w:line="360" w:lineRule="auto"/>
        <w:ind w:firstLine="397"/>
      </w:pPr>
      <w:r>
        <w:t>b.</w:t>
      </w:r>
      <w:r>
        <w:rPr>
          <w:rFonts w:hint="eastAsia"/>
        </w:rPr>
        <w:t>丝头</w:t>
      </w:r>
    </w:p>
    <w:p w14:paraId="6AE3B9C0">
      <w:pPr>
        <w:tabs>
          <w:tab w:val="left" w:pos="3120"/>
        </w:tabs>
        <w:spacing w:line="360" w:lineRule="auto"/>
        <w:ind w:firstLine="397"/>
      </w:pPr>
      <w:r>
        <w:rPr>
          <w:rFonts w:hint="eastAsia"/>
        </w:rPr>
        <w:t>第（</w:t>
      </w:r>
      <w:r>
        <w:t>b</w:t>
      </w:r>
      <w:r>
        <w:rPr>
          <w:rFonts w:hint="eastAsia"/>
        </w:rPr>
        <w:t>）目修改为：</w:t>
      </w:r>
    </w:p>
    <w:p w14:paraId="004721F9">
      <w:pPr>
        <w:tabs>
          <w:tab w:val="left" w:pos="3120"/>
        </w:tabs>
        <w:spacing w:line="360" w:lineRule="auto"/>
        <w:ind w:firstLine="397"/>
      </w:pPr>
      <w:r>
        <w:rPr>
          <w:rFonts w:hint="eastAsia"/>
        </w:rPr>
        <w:t>（</w:t>
      </w:r>
      <w:r>
        <w:t>b</w:t>
      </w:r>
      <w:r>
        <w:rPr>
          <w:rFonts w:hint="eastAsia"/>
        </w:rPr>
        <w:t>）钢筋丝头的螺纹应与连接套筒的螺纹相匹配，公差带应符合《普通螺纹公差》（</w:t>
      </w:r>
      <w:r>
        <w:t>GB/T197-2018</w:t>
      </w:r>
      <w:r>
        <w:rPr>
          <w:rFonts w:hint="eastAsia"/>
        </w:rPr>
        <w:t>）的规定，螺纹精度可选用</w:t>
      </w:r>
      <w:r>
        <w:t>6f</w:t>
      </w:r>
      <w:r>
        <w:rPr>
          <w:rFonts w:hint="eastAsia"/>
        </w:rPr>
        <w:t>级。</w:t>
      </w:r>
    </w:p>
    <w:p w14:paraId="0BEF4B7C">
      <w:pPr>
        <w:tabs>
          <w:tab w:val="left" w:pos="3120"/>
        </w:tabs>
        <w:spacing w:line="360" w:lineRule="auto"/>
        <w:ind w:firstLine="397"/>
      </w:pPr>
      <w:r>
        <w:rPr>
          <w:rFonts w:hint="eastAsia"/>
        </w:rPr>
        <w:t>（</w:t>
      </w:r>
      <w:r>
        <w:t>5</w:t>
      </w:r>
      <w:r>
        <w:rPr>
          <w:rFonts w:hint="eastAsia"/>
        </w:rPr>
        <w:t>）滚轧直螺纹钢筋连接接头</w:t>
      </w:r>
    </w:p>
    <w:p w14:paraId="567F9634">
      <w:pPr>
        <w:tabs>
          <w:tab w:val="left" w:pos="3120"/>
        </w:tabs>
        <w:spacing w:line="360" w:lineRule="auto"/>
        <w:ind w:firstLine="397"/>
      </w:pPr>
      <w:r>
        <w:t>a.</w:t>
      </w:r>
      <w:r>
        <w:rPr>
          <w:rFonts w:hint="eastAsia"/>
        </w:rPr>
        <w:t>连接套筒及螺母</w:t>
      </w:r>
    </w:p>
    <w:p w14:paraId="54F35EDC">
      <w:pPr>
        <w:tabs>
          <w:tab w:val="left" w:pos="3120"/>
        </w:tabs>
        <w:spacing w:line="360" w:lineRule="auto"/>
        <w:ind w:firstLine="397"/>
      </w:pPr>
      <w:r>
        <w:rPr>
          <w:rFonts w:hint="eastAsia"/>
        </w:rPr>
        <w:t>第（</w:t>
      </w:r>
      <w:r>
        <w:t>b</w:t>
      </w:r>
      <w:r>
        <w:rPr>
          <w:rFonts w:hint="eastAsia"/>
        </w:rPr>
        <w:t>）目修改为：</w:t>
      </w:r>
    </w:p>
    <w:p w14:paraId="642EF579">
      <w:pPr>
        <w:tabs>
          <w:tab w:val="left" w:pos="3120"/>
        </w:tabs>
        <w:spacing w:line="360" w:lineRule="auto"/>
        <w:ind w:firstLine="397"/>
      </w:pPr>
      <w:r>
        <w:rPr>
          <w:rFonts w:hint="eastAsia"/>
        </w:rPr>
        <w:t>（</w:t>
      </w:r>
      <w:r>
        <w:t>b</w:t>
      </w:r>
      <w:r>
        <w:rPr>
          <w:rFonts w:hint="eastAsia"/>
        </w:rPr>
        <w:t>）连接套筒的尺寸、螺纹规格应符合产品设计要求及《钢筋机械连接用套筒》（</w:t>
      </w:r>
      <w:r>
        <w:t>JG/T 163-2013</w:t>
      </w:r>
      <w:r>
        <w:rPr>
          <w:rFonts w:hint="eastAsia"/>
        </w:rPr>
        <w:t>）、《普通螺纹基本尺寸》（</w:t>
      </w:r>
      <w:r>
        <w:t>GB/T 196-2003</w:t>
      </w:r>
      <w:r>
        <w:rPr>
          <w:rFonts w:hint="eastAsia"/>
        </w:rPr>
        <w:t>）的相关规定；螺纹中径公差应符合《普通螺纹公差》（</w:t>
      </w:r>
      <w:r>
        <w:t>GB/T197-2018</w:t>
      </w:r>
      <w:r>
        <w:rPr>
          <w:rFonts w:hint="eastAsia"/>
        </w:rPr>
        <w:t>）中</w:t>
      </w:r>
      <w:r>
        <w:t>6H</w:t>
      </w:r>
      <w:r>
        <w:rPr>
          <w:rFonts w:hint="eastAsia"/>
        </w:rPr>
        <w:t>级精度规定的要求。</w:t>
      </w:r>
    </w:p>
    <w:p w14:paraId="2ED292F7">
      <w:pPr>
        <w:tabs>
          <w:tab w:val="left" w:pos="3120"/>
        </w:tabs>
        <w:spacing w:line="360" w:lineRule="auto"/>
        <w:ind w:firstLine="397"/>
        <w:rPr>
          <w:rFonts w:eastAsia="黑体"/>
        </w:rPr>
      </w:pPr>
      <w:r>
        <w:rPr>
          <w:rFonts w:eastAsia="黑体"/>
        </w:rPr>
        <w:t xml:space="preserve">403.06 </w:t>
      </w:r>
      <w:r>
        <w:rPr>
          <w:rFonts w:hint="eastAsia" w:eastAsia="黑体"/>
        </w:rPr>
        <w:t>钢筋骨架和钢筋网</w:t>
      </w:r>
    </w:p>
    <w:p w14:paraId="29347953">
      <w:pPr>
        <w:tabs>
          <w:tab w:val="left" w:pos="3120"/>
        </w:tabs>
        <w:spacing w:line="360" w:lineRule="auto"/>
        <w:ind w:firstLine="397"/>
      </w:pPr>
      <w:r>
        <w:rPr>
          <w:rFonts w:hint="eastAsia"/>
        </w:rPr>
        <w:t>第</w:t>
      </w:r>
      <w:r>
        <w:t>2</w:t>
      </w:r>
      <w:r>
        <w:rPr>
          <w:rFonts w:hint="eastAsia"/>
        </w:rPr>
        <w:t>、</w:t>
      </w:r>
      <w:r>
        <w:t>3</w:t>
      </w:r>
      <w:r>
        <w:rPr>
          <w:rFonts w:hint="eastAsia"/>
        </w:rPr>
        <w:t>、</w:t>
      </w:r>
      <w:r>
        <w:t>4</w:t>
      </w:r>
      <w:r>
        <w:rPr>
          <w:rFonts w:hint="eastAsia"/>
        </w:rPr>
        <w:t>条修改为：</w:t>
      </w:r>
    </w:p>
    <w:p w14:paraId="4BFF5271">
      <w:pPr>
        <w:tabs>
          <w:tab w:val="left" w:pos="3120"/>
        </w:tabs>
        <w:spacing w:line="360" w:lineRule="auto"/>
        <w:ind w:firstLine="397"/>
      </w:pPr>
      <w:r>
        <w:t>2</w:t>
      </w:r>
      <w:r>
        <w:rPr>
          <w:rFonts w:hint="eastAsia"/>
        </w:rPr>
        <w:t>．预制成的钢筋骨架，必须具有足够的刚度和稳定性，以便在运送、吊装和浇筑混凝土时不致松散、移位、变形，必要时可在钢筋骨架的某些连接点处加以焊接或增设加强钢筋。吊装钢筋骨架时，采用多吊点起吊，吊点间距要均匀分布，为防止吊装时钢筋骨架局部产生过大变形，钢筋骨架上应设置专用吊架。</w:t>
      </w:r>
    </w:p>
    <w:p w14:paraId="58AD0FA3">
      <w:pPr>
        <w:tabs>
          <w:tab w:val="left" w:pos="3120"/>
        </w:tabs>
        <w:spacing w:line="360" w:lineRule="auto"/>
        <w:ind w:firstLine="397"/>
      </w:pPr>
      <w:r>
        <w:t>3</w:t>
      </w:r>
      <w:r>
        <w:rPr>
          <w:rFonts w:hint="eastAsia"/>
        </w:rPr>
        <w:t>．钢筋骨架的焊接拼装应在坚固的工作台上进行，操作应按《公路桥涵施工技术规范》（</w:t>
      </w:r>
      <w:r>
        <w:t>JTG/T3650-2020</w:t>
      </w:r>
      <w:r>
        <w:rPr>
          <w:rFonts w:hint="eastAsia"/>
        </w:rPr>
        <w:t>）第</w:t>
      </w:r>
      <w:r>
        <w:t xml:space="preserve">4.4.5 </w:t>
      </w:r>
      <w:r>
        <w:rPr>
          <w:rFonts w:hint="eastAsia"/>
        </w:rPr>
        <w:t>条的规定执行。</w:t>
      </w:r>
    </w:p>
    <w:p w14:paraId="78268D9A">
      <w:pPr>
        <w:tabs>
          <w:tab w:val="left" w:pos="3120"/>
        </w:tabs>
        <w:spacing w:line="360" w:lineRule="auto"/>
        <w:ind w:firstLine="397"/>
      </w:pPr>
      <w:r>
        <w:t>4</w:t>
      </w:r>
      <w:r>
        <w:rPr>
          <w:rFonts w:hint="eastAsia"/>
        </w:rPr>
        <w:t>．钢筋网的焊接应按《公路桥涵施工技术规范》（</w:t>
      </w:r>
      <w:r>
        <w:t>JTG/T 3650-2020</w:t>
      </w:r>
      <w:r>
        <w:rPr>
          <w:rFonts w:hint="eastAsia"/>
        </w:rPr>
        <w:t>）第</w:t>
      </w:r>
      <w:r>
        <w:t>4.4.6</w:t>
      </w:r>
      <w:r>
        <w:rPr>
          <w:rFonts w:hint="eastAsia"/>
        </w:rPr>
        <w:t>条规定执行。若采用定型钢筋焊接网时，其技术要求、试验方法、检验规则及质量证明书等应符合《钢筋混凝土用钢筋焊接网》（</w:t>
      </w:r>
      <w:r>
        <w:t>GB/T 1499.3-2010</w:t>
      </w:r>
      <w:r>
        <w:rPr>
          <w:rFonts w:hint="eastAsia"/>
        </w:rPr>
        <w:t>）的规定。</w:t>
      </w:r>
    </w:p>
    <w:p w14:paraId="16F161B3">
      <w:pPr>
        <w:tabs>
          <w:tab w:val="left" w:pos="3120"/>
        </w:tabs>
        <w:spacing w:line="360" w:lineRule="auto"/>
        <w:ind w:firstLine="397"/>
        <w:rPr>
          <w:rFonts w:eastAsia="黑体"/>
          <w:sz w:val="28"/>
          <w:szCs w:val="28"/>
        </w:rPr>
      </w:pPr>
    </w:p>
    <w:p w14:paraId="4B357E9A">
      <w:pPr>
        <w:tabs>
          <w:tab w:val="left" w:pos="3120"/>
        </w:tabs>
        <w:spacing w:line="360" w:lineRule="auto"/>
        <w:ind w:firstLine="397"/>
      </w:pPr>
    </w:p>
    <w:p w14:paraId="59619602">
      <w:pPr>
        <w:pStyle w:val="7"/>
        <w:rPr>
          <w:sz w:val="32"/>
        </w:rPr>
      </w:pPr>
      <w:bookmarkStart w:id="413" w:name="_Toc15983616"/>
      <w:bookmarkStart w:id="414" w:name="_Toc154675175"/>
      <w:bookmarkStart w:id="415" w:name="_Toc19092149"/>
      <w:bookmarkStart w:id="416" w:name="_Toc22734350"/>
      <w:r>
        <w:rPr>
          <w:rFonts w:hint="eastAsia"/>
          <w:sz w:val="32"/>
        </w:rPr>
        <w:t>第</w:t>
      </w:r>
      <w:r>
        <w:rPr>
          <w:sz w:val="32"/>
        </w:rPr>
        <w:t>404</w:t>
      </w:r>
      <w:r>
        <w:rPr>
          <w:rFonts w:hint="eastAsia"/>
          <w:sz w:val="32"/>
        </w:rPr>
        <w:t>节</w:t>
      </w:r>
      <w:r>
        <w:rPr>
          <w:sz w:val="32"/>
        </w:rPr>
        <w:t xml:space="preserve">  </w:t>
      </w:r>
      <w:r>
        <w:rPr>
          <w:rFonts w:hint="eastAsia"/>
          <w:sz w:val="32"/>
        </w:rPr>
        <w:t>基础挖方及回填</w:t>
      </w:r>
      <w:bookmarkEnd w:id="413"/>
      <w:bookmarkEnd w:id="414"/>
      <w:bookmarkEnd w:id="415"/>
      <w:bookmarkEnd w:id="416"/>
    </w:p>
    <w:p w14:paraId="70A58F0A">
      <w:pPr>
        <w:spacing w:line="360" w:lineRule="auto"/>
        <w:rPr>
          <w:rFonts w:eastAsia="黑体"/>
          <w:sz w:val="28"/>
          <w:szCs w:val="28"/>
        </w:rPr>
      </w:pPr>
      <w:r>
        <w:rPr>
          <w:rFonts w:eastAsia="黑体"/>
          <w:sz w:val="28"/>
          <w:szCs w:val="28"/>
        </w:rPr>
        <w:t xml:space="preserve">404.02 </w:t>
      </w:r>
      <w:r>
        <w:rPr>
          <w:rFonts w:hint="eastAsia" w:eastAsia="黑体"/>
          <w:sz w:val="28"/>
          <w:szCs w:val="28"/>
        </w:rPr>
        <w:t>施工要求</w:t>
      </w:r>
    </w:p>
    <w:p w14:paraId="1C7CC910">
      <w:pPr>
        <w:tabs>
          <w:tab w:val="left" w:pos="3120"/>
        </w:tabs>
        <w:spacing w:line="360" w:lineRule="auto"/>
        <w:ind w:firstLine="397"/>
      </w:pPr>
      <w:r>
        <w:t>2</w:t>
      </w:r>
      <w:r>
        <w:rPr>
          <w:rFonts w:hint="eastAsia"/>
        </w:rPr>
        <w:t>．开挖</w:t>
      </w:r>
    </w:p>
    <w:p w14:paraId="14DCD9C2">
      <w:pPr>
        <w:tabs>
          <w:tab w:val="left" w:pos="3120"/>
        </w:tabs>
        <w:spacing w:line="360" w:lineRule="auto"/>
        <w:ind w:firstLine="397"/>
      </w:pPr>
      <w:r>
        <w:rPr>
          <w:rFonts w:hint="eastAsia"/>
        </w:rPr>
        <w:t>补充第（</w:t>
      </w:r>
      <w:r>
        <w:t>11</w:t>
      </w:r>
      <w:r>
        <w:rPr>
          <w:rFonts w:hint="eastAsia"/>
        </w:rPr>
        <w:t>）、（</w:t>
      </w:r>
      <w:r>
        <w:t>12</w:t>
      </w:r>
      <w:r>
        <w:rPr>
          <w:rFonts w:hint="eastAsia"/>
        </w:rPr>
        <w:t>）、（</w:t>
      </w:r>
      <w:r>
        <w:t>13</w:t>
      </w:r>
      <w:r>
        <w:rPr>
          <w:rFonts w:hint="eastAsia"/>
        </w:rPr>
        <w:t>）、（</w:t>
      </w:r>
      <w:r>
        <w:t>14</w:t>
      </w:r>
      <w:r>
        <w:rPr>
          <w:rFonts w:hint="eastAsia"/>
        </w:rPr>
        <w:t>）款</w:t>
      </w:r>
    </w:p>
    <w:p w14:paraId="05EB5827">
      <w:pPr>
        <w:tabs>
          <w:tab w:val="left" w:pos="3120"/>
        </w:tabs>
        <w:spacing w:line="360" w:lineRule="auto"/>
        <w:ind w:firstLine="397"/>
      </w:pPr>
      <w:r>
        <w:rPr>
          <w:rFonts w:hint="eastAsia"/>
        </w:rPr>
        <w:t>（</w:t>
      </w:r>
      <w:r>
        <w:t>11</w:t>
      </w:r>
      <w:r>
        <w:rPr>
          <w:rFonts w:hint="eastAsia"/>
        </w:rPr>
        <w:t>）基坑开挖时现场要有专人指挥，陆域及一般河沟处基坑均需采用钢板桩进行支护，同时基坑需边开挖边检查坑壁安全，基坑深度超过</w:t>
      </w:r>
      <w:r>
        <w:t>2</w:t>
      </w:r>
      <w:r>
        <w:rPr>
          <w:rFonts w:hint="eastAsia"/>
        </w:rPr>
        <w:t>米以上且坑壁陡立时应设供人员上下的爬梯，坑顶四周设高度不小于</w:t>
      </w:r>
      <w:r>
        <w:t>1.2m</w:t>
      </w:r>
      <w:r>
        <w:rPr>
          <w:rFonts w:hint="eastAsia"/>
        </w:rPr>
        <w:t>的防护栏杆。</w:t>
      </w:r>
    </w:p>
    <w:p w14:paraId="2E348EC3">
      <w:pPr>
        <w:tabs>
          <w:tab w:val="left" w:pos="3120"/>
        </w:tabs>
        <w:spacing w:line="360" w:lineRule="auto"/>
        <w:ind w:firstLine="397"/>
      </w:pPr>
      <w:r>
        <w:rPr>
          <w:rFonts w:hint="eastAsia"/>
        </w:rPr>
        <w:t>（</w:t>
      </w:r>
      <w:r>
        <w:t>12</w:t>
      </w:r>
      <w:r>
        <w:rPr>
          <w:rFonts w:hint="eastAsia"/>
        </w:rPr>
        <w:t>）采用机械开挖基础时不能直接挖至设计基础的底标高，必须预留</w:t>
      </w:r>
      <w:r>
        <w:t>0.3m</w:t>
      </w:r>
      <w:r>
        <w:rPr>
          <w:rFonts w:hint="eastAsia"/>
        </w:rPr>
        <w:t>～</w:t>
      </w:r>
      <w:r>
        <w:t>0.5m</w:t>
      </w:r>
      <w:r>
        <w:rPr>
          <w:rFonts w:hint="eastAsia"/>
        </w:rPr>
        <w:t>由人工开挖修整，并应严格控制欠挖。</w:t>
      </w:r>
    </w:p>
    <w:p w14:paraId="25798B37">
      <w:pPr>
        <w:tabs>
          <w:tab w:val="left" w:pos="3120"/>
        </w:tabs>
        <w:spacing w:line="360" w:lineRule="auto"/>
        <w:ind w:firstLine="397"/>
      </w:pPr>
      <w:r>
        <w:rPr>
          <w:rFonts w:hint="eastAsia"/>
        </w:rPr>
        <w:t>（</w:t>
      </w:r>
      <w:r>
        <w:t>13</w:t>
      </w:r>
      <w:r>
        <w:rPr>
          <w:rFonts w:hint="eastAsia"/>
        </w:rPr>
        <w:t>）桥梁在施工时在河道管理范围内堆放施工器材、工具、修建围堤、围墙、阻水道路或者修筑施工围堰等临时设施时均会降低河道行洪排涝能力，建议尽量将施工期安排在非汛期，汛期来临前清理一切阻水建筑物，以保证河道原有的过水能力，涉河施工方案应报水行政主管部门批准并备案。</w:t>
      </w:r>
    </w:p>
    <w:p w14:paraId="5843168F">
      <w:pPr>
        <w:tabs>
          <w:tab w:val="left" w:pos="3120"/>
        </w:tabs>
        <w:spacing w:line="360" w:lineRule="auto"/>
        <w:ind w:firstLine="397"/>
      </w:pPr>
      <w:r>
        <w:rPr>
          <w:rFonts w:hint="eastAsia"/>
        </w:rPr>
        <w:t>（</w:t>
      </w:r>
      <w:r>
        <w:t>14</w:t>
      </w:r>
      <w:r>
        <w:rPr>
          <w:rFonts w:hint="eastAsia"/>
        </w:rPr>
        <w:t>）桥墩布置于河道堤防上或距堤防工程较近的，会对现有河道护岸、堤坝等水利设施结构造成不利影响的，桥梁下部结构施工前，工程方案经监理人同意后，上报工程所在地的县（市）区水行政主管部门审查并批准。需要对现状堤防进行破除，基础施工完成后需进行原状恢复，为降低对护岸边坡稳定的影响，应做好护岸护砌措施。</w:t>
      </w:r>
    </w:p>
    <w:p w14:paraId="5371129A">
      <w:pPr>
        <w:tabs>
          <w:tab w:val="left" w:pos="3120"/>
        </w:tabs>
        <w:spacing w:line="360" w:lineRule="auto"/>
        <w:ind w:firstLine="397"/>
      </w:pPr>
    </w:p>
    <w:p w14:paraId="03E1BE99">
      <w:pPr>
        <w:pStyle w:val="7"/>
        <w:rPr>
          <w:sz w:val="32"/>
        </w:rPr>
      </w:pPr>
      <w:bookmarkStart w:id="417" w:name="_Toc154675176"/>
      <w:r>
        <w:rPr>
          <w:rFonts w:hint="eastAsia"/>
          <w:sz w:val="32"/>
        </w:rPr>
        <w:t>第</w:t>
      </w:r>
      <w:r>
        <w:rPr>
          <w:sz w:val="32"/>
        </w:rPr>
        <w:t>405</w:t>
      </w:r>
      <w:r>
        <w:rPr>
          <w:rFonts w:hint="eastAsia"/>
          <w:sz w:val="32"/>
        </w:rPr>
        <w:t>节</w:t>
      </w:r>
      <w:r>
        <w:rPr>
          <w:sz w:val="32"/>
        </w:rPr>
        <w:t xml:space="preserve">  </w:t>
      </w:r>
      <w:r>
        <w:rPr>
          <w:rFonts w:hint="eastAsia"/>
          <w:sz w:val="32"/>
        </w:rPr>
        <w:t>钻孔灌注桩</w:t>
      </w:r>
      <w:bookmarkEnd w:id="417"/>
    </w:p>
    <w:p w14:paraId="46964DA5">
      <w:pPr>
        <w:spacing w:line="360" w:lineRule="auto"/>
        <w:rPr>
          <w:rFonts w:eastAsia="黑体"/>
          <w:sz w:val="28"/>
          <w:szCs w:val="28"/>
        </w:rPr>
      </w:pPr>
      <w:r>
        <w:rPr>
          <w:rFonts w:eastAsia="黑体"/>
          <w:sz w:val="28"/>
          <w:szCs w:val="28"/>
        </w:rPr>
        <w:t xml:space="preserve">405.03 </w:t>
      </w:r>
      <w:r>
        <w:rPr>
          <w:rFonts w:hint="eastAsia" w:eastAsia="黑体"/>
          <w:sz w:val="28"/>
          <w:szCs w:val="28"/>
        </w:rPr>
        <w:t>材料及水下混凝土</w:t>
      </w:r>
    </w:p>
    <w:p w14:paraId="14CA3BB7">
      <w:pPr>
        <w:tabs>
          <w:tab w:val="left" w:pos="3120"/>
        </w:tabs>
        <w:spacing w:line="360" w:lineRule="auto"/>
        <w:ind w:firstLine="397"/>
      </w:pPr>
      <w:r>
        <w:rPr>
          <w:rFonts w:hint="eastAsia"/>
        </w:rPr>
        <w:t>第</w:t>
      </w:r>
      <w:r>
        <w:t>2</w:t>
      </w:r>
      <w:r>
        <w:rPr>
          <w:rFonts w:hint="eastAsia"/>
        </w:rPr>
        <w:t>条第（</w:t>
      </w:r>
      <w:r>
        <w:t>3</w:t>
      </w:r>
      <w:r>
        <w:rPr>
          <w:rFonts w:hint="eastAsia"/>
        </w:rPr>
        <w:t>）款内容修改为：</w:t>
      </w:r>
    </w:p>
    <w:p w14:paraId="2E1420D8">
      <w:pPr>
        <w:tabs>
          <w:tab w:val="left" w:pos="3120"/>
        </w:tabs>
        <w:spacing w:line="360" w:lineRule="auto"/>
        <w:ind w:firstLine="397"/>
      </w:pPr>
      <w:r>
        <w:rPr>
          <w:rFonts w:hint="eastAsia"/>
        </w:rPr>
        <w:t>（</w:t>
      </w:r>
      <w:r>
        <w:t>3</w:t>
      </w:r>
      <w:r>
        <w:rPr>
          <w:rFonts w:hint="eastAsia"/>
        </w:rPr>
        <w:t>）粗集料的最大粒径不应大于导管内径的</w:t>
      </w:r>
      <w:r>
        <w:t>1/8</w:t>
      </w:r>
      <w:r>
        <w:rPr>
          <w:rFonts w:hint="eastAsia"/>
        </w:rPr>
        <w:t>～</w:t>
      </w:r>
      <w:r>
        <w:t>1/6</w:t>
      </w:r>
      <w:r>
        <w:rPr>
          <w:rFonts w:hint="eastAsia"/>
        </w:rPr>
        <w:t>和钢筋最小净距的</w:t>
      </w:r>
      <w:r>
        <w:t>1/4</w:t>
      </w:r>
      <w:r>
        <w:rPr>
          <w:rFonts w:hint="eastAsia"/>
        </w:rPr>
        <w:t>，同时不得大于</w:t>
      </w:r>
      <w:r>
        <w:t>37.5mm</w:t>
      </w:r>
      <w:r>
        <w:rPr>
          <w:rFonts w:hint="eastAsia"/>
        </w:rPr>
        <w:t>。</w:t>
      </w:r>
    </w:p>
    <w:p w14:paraId="7EDB798A">
      <w:pPr>
        <w:spacing w:line="360" w:lineRule="auto"/>
        <w:rPr>
          <w:rFonts w:eastAsia="黑体"/>
          <w:sz w:val="28"/>
          <w:szCs w:val="28"/>
        </w:rPr>
      </w:pPr>
      <w:r>
        <w:rPr>
          <w:rFonts w:eastAsia="黑体"/>
          <w:sz w:val="28"/>
          <w:szCs w:val="28"/>
        </w:rPr>
        <w:t xml:space="preserve">405.04 </w:t>
      </w:r>
      <w:r>
        <w:rPr>
          <w:rFonts w:hint="eastAsia" w:eastAsia="黑体"/>
          <w:sz w:val="28"/>
          <w:szCs w:val="28"/>
        </w:rPr>
        <w:t>钻孔</w:t>
      </w:r>
    </w:p>
    <w:p w14:paraId="1C42711B">
      <w:pPr>
        <w:tabs>
          <w:tab w:val="left" w:pos="3120"/>
        </w:tabs>
        <w:spacing w:line="360" w:lineRule="auto"/>
        <w:ind w:firstLine="397"/>
      </w:pPr>
      <w:r>
        <w:rPr>
          <w:rFonts w:hint="eastAsia"/>
        </w:rPr>
        <w:t>第</w:t>
      </w:r>
      <w:r>
        <w:t>2</w:t>
      </w:r>
      <w:r>
        <w:rPr>
          <w:rFonts w:hint="eastAsia"/>
        </w:rPr>
        <w:t>条第（</w:t>
      </w:r>
      <w:r>
        <w:t>3</w:t>
      </w:r>
      <w:r>
        <w:rPr>
          <w:rFonts w:hint="eastAsia"/>
        </w:rPr>
        <w:t>）款内容修改为：</w:t>
      </w:r>
    </w:p>
    <w:p w14:paraId="036EF795">
      <w:pPr>
        <w:tabs>
          <w:tab w:val="left" w:pos="3120"/>
        </w:tabs>
        <w:spacing w:line="360" w:lineRule="auto"/>
        <w:ind w:firstLine="397"/>
      </w:pPr>
      <w:r>
        <w:rPr>
          <w:rFonts w:hint="eastAsia"/>
        </w:rPr>
        <w:t>（</w:t>
      </w:r>
      <w:r>
        <w:t>3</w:t>
      </w:r>
      <w:r>
        <w:rPr>
          <w:rFonts w:hint="eastAsia"/>
        </w:rPr>
        <w:t>）护筒高度宜高出地面</w:t>
      </w:r>
      <w:r>
        <w:t>0.3m</w:t>
      </w:r>
      <w:r>
        <w:rPr>
          <w:rFonts w:hint="eastAsia"/>
        </w:rPr>
        <w:t>或水面</w:t>
      </w:r>
      <w:r>
        <w:t>1.0</w:t>
      </w:r>
      <w:r>
        <w:rPr>
          <w:rFonts w:hint="eastAsia"/>
        </w:rPr>
        <w:t>～</w:t>
      </w:r>
      <w:r>
        <w:t>2.0m</w:t>
      </w:r>
      <w:r>
        <w:rPr>
          <w:rFonts w:hint="eastAsia"/>
        </w:rPr>
        <w:t>，同时应高于桩顶设计高程</w:t>
      </w:r>
      <w:r>
        <w:t>1m</w:t>
      </w:r>
      <w:r>
        <w:rPr>
          <w:rFonts w:hint="eastAsia"/>
        </w:rPr>
        <w:t>。</w:t>
      </w:r>
    </w:p>
    <w:p w14:paraId="2B852863">
      <w:pPr>
        <w:spacing w:line="360" w:lineRule="auto"/>
        <w:rPr>
          <w:rFonts w:eastAsia="黑体"/>
          <w:sz w:val="28"/>
          <w:szCs w:val="28"/>
        </w:rPr>
      </w:pPr>
      <w:r>
        <w:rPr>
          <w:rFonts w:eastAsia="黑体"/>
          <w:sz w:val="28"/>
          <w:szCs w:val="28"/>
        </w:rPr>
        <w:t xml:space="preserve">405.05 </w:t>
      </w:r>
      <w:r>
        <w:rPr>
          <w:rFonts w:hint="eastAsia" w:eastAsia="黑体"/>
          <w:sz w:val="28"/>
          <w:szCs w:val="28"/>
        </w:rPr>
        <w:t>固孔</w:t>
      </w:r>
    </w:p>
    <w:p w14:paraId="6861229C">
      <w:pPr>
        <w:tabs>
          <w:tab w:val="left" w:pos="3120"/>
        </w:tabs>
        <w:spacing w:line="360" w:lineRule="auto"/>
        <w:ind w:firstLine="397"/>
      </w:pPr>
      <w:r>
        <w:rPr>
          <w:rFonts w:hint="eastAsia"/>
        </w:rPr>
        <w:t>第</w:t>
      </w:r>
      <w:r>
        <w:t>4</w:t>
      </w:r>
      <w:r>
        <w:rPr>
          <w:rFonts w:hint="eastAsia"/>
        </w:rPr>
        <w:t>条修改为</w:t>
      </w:r>
    </w:p>
    <w:p w14:paraId="37258C76">
      <w:pPr>
        <w:tabs>
          <w:tab w:val="left" w:pos="3120"/>
        </w:tabs>
        <w:spacing w:line="360" w:lineRule="auto"/>
        <w:ind w:firstLine="397"/>
      </w:pPr>
      <w:r>
        <w:t>4</w:t>
      </w:r>
      <w:r>
        <w:rPr>
          <w:rFonts w:hint="eastAsia"/>
        </w:rPr>
        <w:t>．胶泥应用清水彻底拌和成悬浮体，使在灌注混凝土时及至施工完成保持钻孔孔壁的稳定。泥浆的性能指标按《公路桥梁施工技术规范》（</w:t>
      </w:r>
      <w:r>
        <w:t>JTG/T 3650-2020</w:t>
      </w:r>
      <w:r>
        <w:rPr>
          <w:rFonts w:hint="eastAsia"/>
        </w:rPr>
        <w:t>）第</w:t>
      </w:r>
      <w:r>
        <w:t>9.2.6</w:t>
      </w:r>
      <w:r>
        <w:rPr>
          <w:rFonts w:hint="eastAsia"/>
        </w:rPr>
        <w:t>条执行，施工时除相对密度和黏度应进行试验外，如果监理人要求，其他指标也应予以抽检。</w:t>
      </w:r>
    </w:p>
    <w:p w14:paraId="7CC55C24">
      <w:pPr>
        <w:tabs>
          <w:tab w:val="left" w:pos="3120"/>
        </w:tabs>
        <w:spacing w:line="360" w:lineRule="auto"/>
        <w:ind w:firstLine="397"/>
      </w:pPr>
      <w:r>
        <w:rPr>
          <w:rFonts w:hint="eastAsia"/>
        </w:rPr>
        <w:t>桩基施工时建议成孔时将泥浆粘度调至</w:t>
      </w:r>
      <w:r>
        <w:t>20s</w:t>
      </w:r>
      <w:r>
        <w:rPr>
          <w:rFonts w:hint="eastAsia"/>
        </w:rPr>
        <w:t>以上，使保证不塌孔。</w:t>
      </w:r>
    </w:p>
    <w:p w14:paraId="7D4731CC">
      <w:pPr>
        <w:spacing w:line="360" w:lineRule="auto"/>
        <w:rPr>
          <w:rFonts w:eastAsia="黑体"/>
          <w:sz w:val="28"/>
          <w:szCs w:val="28"/>
        </w:rPr>
      </w:pPr>
      <w:r>
        <w:rPr>
          <w:rFonts w:eastAsia="黑体"/>
          <w:sz w:val="28"/>
          <w:szCs w:val="28"/>
        </w:rPr>
        <w:t xml:space="preserve">405.06 </w:t>
      </w:r>
      <w:r>
        <w:rPr>
          <w:rFonts w:hint="eastAsia" w:eastAsia="黑体"/>
          <w:sz w:val="28"/>
          <w:szCs w:val="28"/>
        </w:rPr>
        <w:t>钻（挖）孔工序</w:t>
      </w:r>
    </w:p>
    <w:p w14:paraId="6AED4222">
      <w:pPr>
        <w:tabs>
          <w:tab w:val="left" w:pos="3120"/>
        </w:tabs>
        <w:spacing w:line="360" w:lineRule="auto"/>
        <w:ind w:firstLine="397"/>
      </w:pPr>
      <w:r>
        <w:rPr>
          <w:rFonts w:hint="eastAsia"/>
        </w:rPr>
        <w:t>补充第</w:t>
      </w:r>
      <w:r>
        <w:t>5</w:t>
      </w:r>
      <w:r>
        <w:rPr>
          <w:rFonts w:hint="eastAsia"/>
        </w:rPr>
        <w:t>、</w:t>
      </w:r>
      <w:r>
        <w:t>6</w:t>
      </w:r>
      <w:r>
        <w:rPr>
          <w:rFonts w:hint="eastAsia"/>
        </w:rPr>
        <w:t>条：</w:t>
      </w:r>
    </w:p>
    <w:p w14:paraId="45FD54B5">
      <w:pPr>
        <w:tabs>
          <w:tab w:val="left" w:pos="3120"/>
        </w:tabs>
        <w:spacing w:line="360" w:lineRule="auto"/>
        <w:ind w:firstLine="397"/>
      </w:pPr>
      <w:r>
        <w:t>5</w:t>
      </w:r>
      <w:r>
        <w:rPr>
          <w:rFonts w:hint="eastAsia"/>
        </w:rPr>
        <w:t>．钻孔至设计深度后，要加密取渣频率，以正确判定地质变化，确定持力层土层性质，并在施工过程中报地质工程师及监理等相关人员确认。</w:t>
      </w:r>
    </w:p>
    <w:p w14:paraId="585035CF">
      <w:pPr>
        <w:tabs>
          <w:tab w:val="left" w:pos="3120"/>
        </w:tabs>
        <w:spacing w:line="360" w:lineRule="auto"/>
        <w:ind w:firstLine="397"/>
      </w:pPr>
      <w:r>
        <w:t>6</w:t>
      </w:r>
      <w:r>
        <w:rPr>
          <w:rFonts w:hint="eastAsia"/>
        </w:rPr>
        <w:t>．同一承台下的相邻桩不得同时进行施工，应等相邻桩水下混凝土灌注完毕满</w:t>
      </w:r>
      <w:r>
        <w:t>36</w:t>
      </w:r>
      <w:r>
        <w:rPr>
          <w:rFonts w:hint="eastAsia"/>
        </w:rPr>
        <w:t>小时后才能开工。桩净距在</w:t>
      </w:r>
      <w:r>
        <w:t>4</w:t>
      </w:r>
      <w:r>
        <w:rPr>
          <w:rFonts w:hint="eastAsia"/>
        </w:rPr>
        <w:t>倍桩径以上可不受此条约束。</w:t>
      </w:r>
    </w:p>
    <w:p w14:paraId="2DD40E06">
      <w:pPr>
        <w:spacing w:line="360" w:lineRule="auto"/>
        <w:rPr>
          <w:rFonts w:eastAsia="黑体"/>
          <w:sz w:val="28"/>
          <w:szCs w:val="28"/>
        </w:rPr>
      </w:pPr>
      <w:r>
        <w:rPr>
          <w:rFonts w:eastAsia="黑体"/>
          <w:sz w:val="28"/>
          <w:szCs w:val="28"/>
        </w:rPr>
        <w:t xml:space="preserve">405.07 </w:t>
      </w:r>
      <w:r>
        <w:rPr>
          <w:rFonts w:hint="eastAsia" w:eastAsia="黑体"/>
          <w:sz w:val="28"/>
          <w:szCs w:val="28"/>
        </w:rPr>
        <w:t>清孔</w:t>
      </w:r>
    </w:p>
    <w:p w14:paraId="46A42317">
      <w:pPr>
        <w:tabs>
          <w:tab w:val="left" w:pos="3120"/>
        </w:tabs>
        <w:spacing w:line="360" w:lineRule="auto"/>
        <w:ind w:firstLine="397"/>
      </w:pPr>
      <w:r>
        <w:rPr>
          <w:rFonts w:hint="eastAsia"/>
        </w:rPr>
        <w:t>第</w:t>
      </w:r>
      <w:r>
        <w:t>3</w:t>
      </w:r>
      <w:r>
        <w:rPr>
          <w:rFonts w:hint="eastAsia"/>
        </w:rPr>
        <w:t>条修改为：</w:t>
      </w:r>
    </w:p>
    <w:p w14:paraId="464F7DDD">
      <w:pPr>
        <w:tabs>
          <w:tab w:val="left" w:pos="3120"/>
        </w:tabs>
        <w:spacing w:line="360" w:lineRule="auto"/>
        <w:ind w:firstLine="397"/>
      </w:pPr>
      <w:r>
        <w:t>3</w:t>
      </w:r>
      <w:r>
        <w:rPr>
          <w:rFonts w:hint="eastAsia"/>
        </w:rPr>
        <w:t>．清孔后孔底沉淀物厚度应按图纸规定值进行检查，不得采用加深钻孔深度的方式代替清孔。对于砂层较厚的地层，确保二次清孔采用反循环并用空压机配合，以缩短清孔时间，争取在最短时间将孔底沉渣清到设计要求厚度。</w:t>
      </w:r>
    </w:p>
    <w:p w14:paraId="6B6E9A4C">
      <w:pPr>
        <w:spacing w:line="360" w:lineRule="auto"/>
        <w:rPr>
          <w:rFonts w:eastAsia="黑体"/>
          <w:sz w:val="28"/>
          <w:szCs w:val="28"/>
        </w:rPr>
      </w:pPr>
      <w:r>
        <w:rPr>
          <w:rFonts w:eastAsia="黑体"/>
          <w:sz w:val="28"/>
          <w:szCs w:val="28"/>
        </w:rPr>
        <w:t xml:space="preserve">405.09 </w:t>
      </w:r>
      <w:r>
        <w:rPr>
          <w:rFonts w:hint="eastAsia" w:eastAsia="黑体"/>
          <w:sz w:val="28"/>
          <w:szCs w:val="28"/>
        </w:rPr>
        <w:t>钢筋骨架</w:t>
      </w:r>
    </w:p>
    <w:p w14:paraId="05EFD9D1">
      <w:pPr>
        <w:tabs>
          <w:tab w:val="left" w:pos="3120"/>
        </w:tabs>
        <w:spacing w:line="360" w:lineRule="auto"/>
        <w:ind w:firstLine="397"/>
      </w:pPr>
      <w:r>
        <w:rPr>
          <w:rFonts w:hint="eastAsia"/>
        </w:rPr>
        <w:t>第</w:t>
      </w:r>
      <w:r>
        <w:t>2</w:t>
      </w:r>
      <w:r>
        <w:rPr>
          <w:rFonts w:hint="eastAsia"/>
        </w:rPr>
        <w:t>、</w:t>
      </w:r>
      <w:r>
        <w:t>3</w:t>
      </w:r>
      <w:r>
        <w:rPr>
          <w:rFonts w:hint="eastAsia"/>
        </w:rPr>
        <w:t>条内容修改为：</w:t>
      </w:r>
    </w:p>
    <w:p w14:paraId="3A82ABB7">
      <w:pPr>
        <w:tabs>
          <w:tab w:val="left" w:pos="3120"/>
        </w:tabs>
        <w:spacing w:line="360" w:lineRule="auto"/>
        <w:ind w:firstLine="397"/>
      </w:pPr>
      <w:r>
        <w:t>2</w:t>
      </w:r>
      <w:r>
        <w:rPr>
          <w:rFonts w:hint="eastAsia"/>
        </w:rPr>
        <w:t>．钢筋骨架焊接应严格按照《钢筋焊接及验收规程》（</w:t>
      </w:r>
      <w:r>
        <w:t>JGJ18-2012</w:t>
      </w:r>
      <w:r>
        <w:rPr>
          <w:rFonts w:hint="eastAsia"/>
        </w:rPr>
        <w:t>）执行。钢筋骨架应有足够的强劲内撑架，图纸无规定时，螺旋筋与主筋宜采用交叉点焊固定，防止钢筋骨架在运输和就位时变形，在钢筋骨架顶面应采取有效方法进行固定，防止混凝土灌注过程中钢筋骨架上升。支承系统应对准中线防止钢筋骨架倾斜和移动。</w:t>
      </w:r>
    </w:p>
    <w:p w14:paraId="15179D41">
      <w:pPr>
        <w:tabs>
          <w:tab w:val="left" w:pos="3120"/>
        </w:tabs>
        <w:spacing w:line="360" w:lineRule="auto"/>
        <w:ind w:firstLine="397"/>
      </w:pPr>
      <w:r>
        <w:t>3</w:t>
      </w:r>
      <w:r>
        <w:rPr>
          <w:rFonts w:hint="eastAsia"/>
        </w:rPr>
        <w:t>．钢筋骨架上应事先安设控制钢筋骨架与孔壁净距满足图纸要求的混凝土垫块，这些垫块应可靠地以等距离绑在钢筋骨架周径上，其沿桩长方向的间距不超过</w:t>
      </w:r>
      <w:r>
        <w:t>2m</w:t>
      </w:r>
      <w:r>
        <w:rPr>
          <w:rFonts w:hint="eastAsia"/>
        </w:rPr>
        <w:t>，横向圆周不得少于</w:t>
      </w:r>
      <w:r>
        <w:t>4</w:t>
      </w:r>
      <w:r>
        <w:rPr>
          <w:rFonts w:hint="eastAsia"/>
        </w:rPr>
        <w:t>处。但图示者除外。混凝土垫块的形状应做成中心留孔的预制圆板，便于穿挂在骨架的箍筋上；或者采用其他有效方法以保证图纸要求的保护层得到满足。钢筋骨架底面高程允许偏差为</w:t>
      </w:r>
      <w:r>
        <w:t>±50mm</w:t>
      </w:r>
      <w:r>
        <w:rPr>
          <w:rFonts w:hint="eastAsia"/>
        </w:rPr>
        <w:t>。</w:t>
      </w:r>
    </w:p>
    <w:p w14:paraId="7A3B9FA0">
      <w:pPr>
        <w:tabs>
          <w:tab w:val="left" w:pos="3120"/>
        </w:tabs>
        <w:spacing w:line="360" w:lineRule="auto"/>
        <w:ind w:firstLine="397"/>
      </w:pPr>
      <w:r>
        <w:rPr>
          <w:rFonts w:hint="eastAsia"/>
        </w:rPr>
        <w:t>补充第</w:t>
      </w:r>
      <w:r>
        <w:t>5</w:t>
      </w:r>
      <w:r>
        <w:rPr>
          <w:rFonts w:hint="eastAsia"/>
        </w:rPr>
        <w:t>条：</w:t>
      </w:r>
    </w:p>
    <w:p w14:paraId="5522E53F">
      <w:pPr>
        <w:tabs>
          <w:tab w:val="left" w:pos="3120"/>
        </w:tabs>
        <w:spacing w:line="360" w:lineRule="auto"/>
        <w:ind w:firstLine="397"/>
      </w:pPr>
      <w:r>
        <w:t>5</w:t>
      </w:r>
      <w:r>
        <w:rPr>
          <w:rFonts w:hint="eastAsia"/>
        </w:rPr>
        <w:t>．桩基钢筋骨架入孔前应严格自检、报检，每节骨架均应有半成品标志牌，标明墩号、桩号、节号，仔细检查每节钢筋骨架的各项指标：直径、根数、间距、长度、焊接质量等；两节以上钢筋骨架入孔时，每次骨架连接好后必须通知监理人验收合格后才能继续下道工序。钢筋骨架对接时应采用机械连接，各类接头的性能均应符合现行行业标准《钢筋机械连接技术规程》（</w:t>
      </w:r>
      <w:r>
        <w:t>JGJ107</w:t>
      </w:r>
      <w:r>
        <w:rPr>
          <w:rFonts w:hint="eastAsia"/>
        </w:rPr>
        <w:t>）的规定，同时需满足《公路桥涵施工技术规范》（</w:t>
      </w:r>
      <w:r>
        <w:t>JTG/T 3650-2020</w:t>
      </w:r>
      <w:r>
        <w:rPr>
          <w:rFonts w:hint="eastAsia"/>
        </w:rPr>
        <w:t>）的相关规定。</w:t>
      </w:r>
    </w:p>
    <w:p w14:paraId="33153AD9">
      <w:pPr>
        <w:tabs>
          <w:tab w:val="left" w:pos="3120"/>
        </w:tabs>
        <w:spacing w:line="360" w:lineRule="auto"/>
        <w:ind w:firstLine="397"/>
      </w:pPr>
      <w:r>
        <w:rPr>
          <w:rFonts w:hint="eastAsia"/>
        </w:rPr>
        <w:t>补充第</w:t>
      </w:r>
      <w:r>
        <w:t>405.13</w:t>
      </w:r>
      <w:r>
        <w:rPr>
          <w:rFonts w:hint="eastAsia"/>
        </w:rPr>
        <w:t>小节：</w:t>
      </w:r>
    </w:p>
    <w:p w14:paraId="58DC816C">
      <w:pPr>
        <w:spacing w:line="360" w:lineRule="auto"/>
        <w:rPr>
          <w:rFonts w:eastAsia="黑体"/>
          <w:sz w:val="28"/>
          <w:szCs w:val="28"/>
        </w:rPr>
      </w:pPr>
      <w:r>
        <w:rPr>
          <w:rFonts w:eastAsia="黑体"/>
          <w:sz w:val="28"/>
          <w:szCs w:val="28"/>
        </w:rPr>
        <w:t xml:space="preserve">405.13  </w:t>
      </w:r>
      <w:r>
        <w:rPr>
          <w:rFonts w:hint="eastAsia" w:eastAsia="黑体"/>
          <w:sz w:val="28"/>
          <w:szCs w:val="28"/>
        </w:rPr>
        <w:t>声测管</w:t>
      </w:r>
    </w:p>
    <w:p w14:paraId="639D6E9C">
      <w:pPr>
        <w:tabs>
          <w:tab w:val="left" w:pos="3120"/>
        </w:tabs>
        <w:spacing w:line="360" w:lineRule="auto"/>
        <w:ind w:firstLine="397"/>
      </w:pPr>
      <w:r>
        <w:rPr>
          <w:rFonts w:hint="eastAsia"/>
        </w:rPr>
        <w:t>为了确保桩基的质量，声测管必须按图纸要求进行埋设。声测管的埋设按《公路工程基桩检测技术规程》（</w:t>
      </w:r>
      <w:r>
        <w:t>JTG/T 3512-2020</w:t>
      </w:r>
      <w:r>
        <w:rPr>
          <w:rFonts w:hint="eastAsia"/>
        </w:rPr>
        <w:t>）的有关要求，并采用符合《混凝土灌注桩用高强钢塑声测管》（</w:t>
      </w:r>
      <w:r>
        <w:t>JT/T871-2013</w:t>
      </w:r>
      <w:r>
        <w:rPr>
          <w:rFonts w:hint="eastAsia"/>
        </w:rPr>
        <w:t>）等其它行业标准中性能可靠的材料。当桩径不大于</w:t>
      </w:r>
      <w:r>
        <w:t>1.5m</w:t>
      </w:r>
      <w:r>
        <w:rPr>
          <w:rFonts w:hint="eastAsia"/>
        </w:rPr>
        <w:t>时，埋设</w:t>
      </w:r>
      <w:r>
        <w:t>3</w:t>
      </w:r>
      <w:r>
        <w:rPr>
          <w:rFonts w:hint="eastAsia"/>
        </w:rPr>
        <w:t>根声测管，当桩径大于</w:t>
      </w:r>
      <w:r>
        <w:t>1.5m</w:t>
      </w:r>
      <w:r>
        <w:rPr>
          <w:rFonts w:hint="eastAsia"/>
        </w:rPr>
        <w:t>时，埋设</w:t>
      </w:r>
      <w:r>
        <w:t>4</w:t>
      </w:r>
      <w:r>
        <w:rPr>
          <w:rFonts w:hint="eastAsia"/>
        </w:rPr>
        <w:t>根声测管。声测管应牢固绑扎在钢筋笼内侧，随钢筋笼分段安装，管与管互相平行、定位准确，并埋设至桩底。</w:t>
      </w:r>
    </w:p>
    <w:p w14:paraId="167B8D20">
      <w:pPr>
        <w:tabs>
          <w:tab w:val="left" w:pos="3120"/>
        </w:tabs>
        <w:spacing w:line="360" w:lineRule="auto"/>
        <w:ind w:firstLine="397"/>
      </w:pPr>
      <w:r>
        <w:rPr>
          <w:rFonts w:hint="eastAsia"/>
        </w:rPr>
        <w:t>声测管高出基桩顶面</w:t>
      </w:r>
      <w:r>
        <w:t>50cm</w:t>
      </w:r>
      <w:r>
        <w:rPr>
          <w:rFonts w:hint="eastAsia"/>
        </w:rPr>
        <w:t>以上，下端焊接钢板来保证密封，要求不漏水。声测管接头应密封好，顶部用木塞封闭，防止砂浆、杂物堵塞管道。底部每埋设一节应向管内加注清水。混凝土浇筑前应用塞子堵死管口，避免杂物进入，声测管采用相应直径的套管对焊接长。</w:t>
      </w:r>
    </w:p>
    <w:p w14:paraId="0C74DF62">
      <w:pPr>
        <w:tabs>
          <w:tab w:val="left" w:pos="3120"/>
        </w:tabs>
        <w:spacing w:line="360" w:lineRule="auto"/>
        <w:ind w:firstLine="397"/>
      </w:pPr>
      <w:r>
        <w:rPr>
          <w:rFonts w:hint="eastAsia"/>
        </w:rPr>
        <w:t>对声测管总体的要求：接头牢固不脱开，密封不漏浆；管壁平整无弯折、变形；管体竖直；管内畅通。</w:t>
      </w:r>
    </w:p>
    <w:p w14:paraId="6D6FED55">
      <w:pPr>
        <w:tabs>
          <w:tab w:val="left" w:pos="3120"/>
        </w:tabs>
        <w:spacing w:line="360" w:lineRule="auto"/>
        <w:ind w:firstLine="397"/>
      </w:pPr>
    </w:p>
    <w:p w14:paraId="444CF5B2">
      <w:pPr>
        <w:pStyle w:val="7"/>
        <w:rPr>
          <w:sz w:val="32"/>
        </w:rPr>
      </w:pPr>
      <w:bookmarkStart w:id="418" w:name="_Toc154675177"/>
      <w:r>
        <w:rPr>
          <w:rFonts w:hint="eastAsia"/>
          <w:sz w:val="32"/>
        </w:rPr>
        <w:t>第</w:t>
      </w:r>
      <w:r>
        <w:rPr>
          <w:sz w:val="32"/>
        </w:rPr>
        <w:t>410</w:t>
      </w:r>
      <w:r>
        <w:rPr>
          <w:rFonts w:hint="eastAsia"/>
          <w:sz w:val="32"/>
        </w:rPr>
        <w:t>节</w:t>
      </w:r>
      <w:r>
        <w:rPr>
          <w:sz w:val="32"/>
        </w:rPr>
        <w:t xml:space="preserve">  </w:t>
      </w:r>
      <w:r>
        <w:rPr>
          <w:rFonts w:hint="eastAsia"/>
          <w:sz w:val="32"/>
        </w:rPr>
        <w:t>结构混凝土工程</w:t>
      </w:r>
      <w:bookmarkEnd w:id="418"/>
    </w:p>
    <w:p w14:paraId="174AC5AB">
      <w:pPr>
        <w:tabs>
          <w:tab w:val="left" w:pos="3120"/>
        </w:tabs>
        <w:spacing w:line="360" w:lineRule="auto"/>
        <w:ind w:firstLine="397"/>
      </w:pPr>
    </w:p>
    <w:p w14:paraId="7F192F8A">
      <w:pPr>
        <w:spacing w:line="360" w:lineRule="auto"/>
        <w:rPr>
          <w:rFonts w:eastAsia="黑体"/>
          <w:sz w:val="28"/>
          <w:szCs w:val="28"/>
        </w:rPr>
      </w:pPr>
      <w:r>
        <w:rPr>
          <w:rFonts w:eastAsia="黑体"/>
          <w:sz w:val="28"/>
          <w:szCs w:val="28"/>
        </w:rPr>
        <w:t xml:space="preserve">410.02 </w:t>
      </w:r>
      <w:r>
        <w:rPr>
          <w:rFonts w:hint="eastAsia" w:eastAsia="黑体"/>
          <w:sz w:val="28"/>
          <w:szCs w:val="28"/>
        </w:rPr>
        <w:t>集料</w:t>
      </w:r>
    </w:p>
    <w:p w14:paraId="11570BC8">
      <w:pPr>
        <w:tabs>
          <w:tab w:val="left" w:pos="3120"/>
        </w:tabs>
        <w:spacing w:line="360" w:lineRule="auto"/>
        <w:ind w:firstLine="397"/>
      </w:pPr>
      <w:r>
        <w:t>2</w:t>
      </w:r>
      <w:r>
        <w:rPr>
          <w:rFonts w:hint="eastAsia"/>
        </w:rPr>
        <w:t>．细集料</w:t>
      </w:r>
    </w:p>
    <w:p w14:paraId="0EED5051">
      <w:pPr>
        <w:tabs>
          <w:tab w:val="left" w:pos="3120"/>
        </w:tabs>
        <w:spacing w:line="360" w:lineRule="auto"/>
        <w:ind w:firstLine="397"/>
      </w:pPr>
      <w:r>
        <w:rPr>
          <w:rFonts w:hint="eastAsia"/>
        </w:rPr>
        <w:t>第（</w:t>
      </w:r>
      <w:r>
        <w:t>1</w:t>
      </w:r>
      <w:r>
        <w:rPr>
          <w:rFonts w:hint="eastAsia"/>
        </w:rPr>
        <w:t>）款修改为：</w:t>
      </w:r>
    </w:p>
    <w:p w14:paraId="682B25FB">
      <w:pPr>
        <w:tabs>
          <w:tab w:val="left" w:pos="3120"/>
        </w:tabs>
        <w:spacing w:line="360" w:lineRule="auto"/>
        <w:ind w:firstLine="397"/>
      </w:pPr>
      <w:r>
        <w:rPr>
          <w:rFonts w:hint="eastAsia"/>
        </w:rPr>
        <w:t>（</w:t>
      </w:r>
      <w:r>
        <w:t>1</w:t>
      </w:r>
      <w:r>
        <w:rPr>
          <w:rFonts w:hint="eastAsia"/>
        </w:rPr>
        <w:t>）细集料应由颗粒坚硬、强度高、耐风化的天然砂构成，天然砂云母含量小于</w:t>
      </w:r>
      <w:r>
        <w:t>2%</w:t>
      </w:r>
      <w:r>
        <w:rPr>
          <w:rFonts w:hint="eastAsia"/>
        </w:rPr>
        <w:t>。除此之外，经发包人、监理人批准，允许采用硬质岩石加工的机制砂，机制砂应符合国标《建设用砂》（</w:t>
      </w:r>
      <w:r>
        <w:t>GB/T14684-2011</w:t>
      </w:r>
      <w:r>
        <w:rPr>
          <w:rFonts w:hint="eastAsia"/>
        </w:rPr>
        <w:t>）、《浙江省交通建设工程机制砂生产（干法）及机制砂混凝土技术指南》（浙江省交通运输厅</w:t>
      </w:r>
      <w:r>
        <w:t>2016</w:t>
      </w:r>
      <w:r>
        <w:rPr>
          <w:rFonts w:hint="eastAsia"/>
        </w:rPr>
        <w:t>年</w:t>
      </w:r>
      <w:r>
        <w:t>1</w:t>
      </w:r>
      <w:r>
        <w:rPr>
          <w:rFonts w:hint="eastAsia"/>
        </w:rPr>
        <w:t>月）和《公路桥涵施工技术规范》（</w:t>
      </w:r>
      <w:r>
        <w:t>JTG/T 3650-2020</w:t>
      </w:r>
      <w:r>
        <w:rPr>
          <w:rFonts w:hint="eastAsia"/>
        </w:rPr>
        <w:t>）的Ⅱ类砂技术要求。严禁使用海砂、山砂及风化严重的多孔砂。</w:t>
      </w:r>
    </w:p>
    <w:p w14:paraId="799AE6FC">
      <w:pPr>
        <w:tabs>
          <w:tab w:val="left" w:pos="3120"/>
        </w:tabs>
        <w:spacing w:line="360" w:lineRule="auto"/>
        <w:ind w:firstLine="397"/>
      </w:pPr>
      <w:r>
        <w:rPr>
          <w:rFonts w:hint="eastAsia"/>
        </w:rPr>
        <w:t>第（</w:t>
      </w:r>
      <w:r>
        <w:t>3</w:t>
      </w:r>
      <w:r>
        <w:rPr>
          <w:rFonts w:hint="eastAsia"/>
        </w:rPr>
        <w:t>）款修改为：</w:t>
      </w:r>
    </w:p>
    <w:p w14:paraId="418FF1A9">
      <w:pPr>
        <w:tabs>
          <w:tab w:val="left" w:pos="3120"/>
        </w:tabs>
        <w:spacing w:line="360" w:lineRule="auto"/>
        <w:ind w:firstLine="397"/>
      </w:pPr>
      <w:r>
        <w:rPr>
          <w:rFonts w:hint="eastAsia"/>
        </w:rPr>
        <w:t>细集料的级配范围、坚固性、杂质的最大含量应符合《公路桥涵施工技术规范》（</w:t>
      </w:r>
      <w:r>
        <w:t>JTG/T 3650-2020</w:t>
      </w:r>
      <w:r>
        <w:rPr>
          <w:rFonts w:hint="eastAsia"/>
        </w:rPr>
        <w:t>）中</w:t>
      </w:r>
      <w:r>
        <w:t>6.3</w:t>
      </w:r>
      <w:r>
        <w:rPr>
          <w:rFonts w:hint="eastAsia"/>
        </w:rPr>
        <w:t>节要求，试验应按《公路工程集料试验规程》（</w:t>
      </w:r>
      <w:r>
        <w:t>JTG E42-2005</w:t>
      </w:r>
      <w:r>
        <w:rPr>
          <w:rFonts w:hint="eastAsia"/>
        </w:rPr>
        <w:t>）进行。</w:t>
      </w:r>
      <w:r>
        <w:t>”</w:t>
      </w:r>
    </w:p>
    <w:p w14:paraId="207D7C4C">
      <w:pPr>
        <w:tabs>
          <w:tab w:val="left" w:pos="3120"/>
        </w:tabs>
        <w:spacing w:line="360" w:lineRule="auto"/>
        <w:ind w:firstLine="397"/>
      </w:pPr>
      <w:r>
        <w:t>3</w:t>
      </w:r>
      <w:r>
        <w:rPr>
          <w:rFonts w:hint="eastAsia"/>
        </w:rPr>
        <w:t>．粗集料</w:t>
      </w:r>
    </w:p>
    <w:p w14:paraId="25AFF3E7">
      <w:pPr>
        <w:tabs>
          <w:tab w:val="left" w:pos="3120"/>
        </w:tabs>
        <w:spacing w:line="360" w:lineRule="auto"/>
        <w:ind w:firstLine="397"/>
      </w:pPr>
      <w:r>
        <w:rPr>
          <w:rFonts w:hint="eastAsia"/>
        </w:rPr>
        <w:t>第（</w:t>
      </w:r>
      <w:r>
        <w:t>1</w:t>
      </w:r>
      <w:r>
        <w:rPr>
          <w:rFonts w:hint="eastAsia"/>
        </w:rPr>
        <w:t>）、（</w:t>
      </w:r>
      <w:r>
        <w:t>2</w:t>
      </w:r>
      <w:r>
        <w:rPr>
          <w:rFonts w:hint="eastAsia"/>
        </w:rPr>
        <w:t>）、（</w:t>
      </w:r>
      <w:r>
        <w:t>3</w:t>
      </w:r>
      <w:r>
        <w:rPr>
          <w:rFonts w:hint="eastAsia"/>
        </w:rPr>
        <w:t>）、（</w:t>
      </w:r>
      <w:r>
        <w:t>4</w:t>
      </w:r>
      <w:r>
        <w:rPr>
          <w:rFonts w:hint="eastAsia"/>
        </w:rPr>
        <w:t>）款修改为：</w:t>
      </w:r>
    </w:p>
    <w:p w14:paraId="6D85BE27">
      <w:pPr>
        <w:tabs>
          <w:tab w:val="left" w:pos="3120"/>
        </w:tabs>
        <w:spacing w:line="360" w:lineRule="auto"/>
        <w:ind w:firstLine="397"/>
      </w:pPr>
      <w:r>
        <w:rPr>
          <w:rFonts w:hint="eastAsia"/>
        </w:rPr>
        <w:t>（</w:t>
      </w:r>
      <w:r>
        <w:t>1</w:t>
      </w:r>
      <w:r>
        <w:rPr>
          <w:rFonts w:hint="eastAsia"/>
        </w:rPr>
        <w:t>）粗集料应由符合《公路桥涵施工技术规范》（</w:t>
      </w:r>
      <w:r>
        <w:t>JTG/T 3650-2020</w:t>
      </w:r>
      <w:r>
        <w:rPr>
          <w:rFonts w:hint="eastAsia"/>
        </w:rPr>
        <w:t>）表</w:t>
      </w:r>
      <w:r>
        <w:t>6.4.3</w:t>
      </w:r>
      <w:r>
        <w:rPr>
          <w:rFonts w:hint="eastAsia"/>
        </w:rPr>
        <w:t>级配的坚硬碎石组成。</w:t>
      </w:r>
      <w:r>
        <w:t>C30</w:t>
      </w:r>
      <w:r>
        <w:rPr>
          <w:rFonts w:hint="eastAsia"/>
        </w:rPr>
        <w:t>及</w:t>
      </w:r>
      <w:r>
        <w:t>C30</w:t>
      </w:r>
      <w:r>
        <w:rPr>
          <w:rFonts w:hint="eastAsia"/>
        </w:rPr>
        <w:t>以上的混凝土应采用反击式破碎机生产的粒径不大于</w:t>
      </w:r>
      <w:r>
        <w:t>25mm</w:t>
      </w:r>
      <w:r>
        <w:rPr>
          <w:rFonts w:hint="eastAsia"/>
        </w:rPr>
        <w:t>连续级配碎石。大体积混凝土宜选用线胀系数较小的集料。</w:t>
      </w:r>
      <w:r>
        <w:t>C50</w:t>
      </w:r>
      <w:r>
        <w:rPr>
          <w:rFonts w:hint="eastAsia"/>
        </w:rPr>
        <w:t>及以上混凝土粗集料宜水洗。</w:t>
      </w:r>
    </w:p>
    <w:p w14:paraId="75A704C8">
      <w:pPr>
        <w:tabs>
          <w:tab w:val="left" w:pos="3120"/>
        </w:tabs>
        <w:spacing w:line="360" w:lineRule="auto"/>
        <w:ind w:firstLine="397"/>
      </w:pPr>
      <w:r>
        <w:rPr>
          <w:rFonts w:hint="eastAsia"/>
        </w:rPr>
        <w:t>（</w:t>
      </w:r>
      <w:r>
        <w:t>2</w:t>
      </w:r>
      <w:r>
        <w:rPr>
          <w:rFonts w:hint="eastAsia"/>
        </w:rPr>
        <w:t>）粗集料宜采用连续级配。</w:t>
      </w:r>
    </w:p>
    <w:p w14:paraId="2E3CE043">
      <w:pPr>
        <w:tabs>
          <w:tab w:val="left" w:pos="3120"/>
        </w:tabs>
        <w:spacing w:line="360" w:lineRule="auto"/>
        <w:ind w:firstLine="397"/>
      </w:pPr>
      <w:r>
        <w:rPr>
          <w:rFonts w:hint="eastAsia"/>
        </w:rPr>
        <w:t>（</w:t>
      </w:r>
      <w:r>
        <w:t>3</w:t>
      </w:r>
      <w:r>
        <w:rPr>
          <w:rFonts w:hint="eastAsia"/>
        </w:rPr>
        <w:t>）粗集料的有害物质含量及技术要求，应符合《公路桥涵施工技术规范》（</w:t>
      </w:r>
      <w:r>
        <w:t>JTG/T 3650-2020</w:t>
      </w:r>
      <w:r>
        <w:rPr>
          <w:rFonts w:hint="eastAsia"/>
        </w:rPr>
        <w:t>）表</w:t>
      </w:r>
      <w:r>
        <w:t>6.4.1</w:t>
      </w:r>
      <w:r>
        <w:rPr>
          <w:rFonts w:hint="eastAsia"/>
        </w:rPr>
        <w:t>要求。</w:t>
      </w:r>
    </w:p>
    <w:p w14:paraId="32569D5C">
      <w:pPr>
        <w:tabs>
          <w:tab w:val="left" w:pos="3120"/>
        </w:tabs>
        <w:spacing w:line="360" w:lineRule="auto"/>
        <w:ind w:firstLine="397"/>
      </w:pPr>
      <w:r>
        <w:rPr>
          <w:rFonts w:hint="eastAsia"/>
        </w:rPr>
        <w:t>（</w:t>
      </w:r>
      <w:r>
        <w:t>4</w:t>
      </w:r>
      <w:r>
        <w:rPr>
          <w:rFonts w:hint="eastAsia"/>
        </w:rPr>
        <w:t>）粗集料最大粒径应满足《公路桥涵施工技术规范》（</w:t>
      </w:r>
      <w:r>
        <w:t>JTG/T 3650-2020</w:t>
      </w:r>
      <w:r>
        <w:rPr>
          <w:rFonts w:hint="eastAsia"/>
        </w:rPr>
        <w:t>）第</w:t>
      </w:r>
      <w:r>
        <w:t>6.4.4</w:t>
      </w:r>
      <w:r>
        <w:rPr>
          <w:rFonts w:hint="eastAsia"/>
        </w:rPr>
        <w:t>条要求。</w:t>
      </w:r>
    </w:p>
    <w:p w14:paraId="6ED619EA">
      <w:pPr>
        <w:spacing w:line="360" w:lineRule="auto"/>
        <w:rPr>
          <w:rFonts w:eastAsia="黑体"/>
          <w:sz w:val="28"/>
          <w:szCs w:val="28"/>
        </w:rPr>
      </w:pPr>
      <w:r>
        <w:rPr>
          <w:rFonts w:eastAsia="黑体"/>
          <w:sz w:val="28"/>
          <w:szCs w:val="28"/>
        </w:rPr>
        <w:t xml:space="preserve">410.05 </w:t>
      </w:r>
      <w:r>
        <w:rPr>
          <w:rFonts w:hint="eastAsia" w:eastAsia="黑体"/>
          <w:sz w:val="28"/>
          <w:szCs w:val="28"/>
        </w:rPr>
        <w:t>外加剂及混合材料</w:t>
      </w:r>
    </w:p>
    <w:p w14:paraId="4388B0CF">
      <w:pPr>
        <w:tabs>
          <w:tab w:val="left" w:pos="3120"/>
        </w:tabs>
        <w:spacing w:line="360" w:lineRule="auto"/>
        <w:ind w:firstLine="397"/>
      </w:pPr>
      <w:r>
        <w:t>1</w:t>
      </w:r>
      <w:r>
        <w:rPr>
          <w:rFonts w:hint="eastAsia"/>
        </w:rPr>
        <w:t>．外加剂</w:t>
      </w:r>
    </w:p>
    <w:p w14:paraId="3EFEF778">
      <w:pPr>
        <w:tabs>
          <w:tab w:val="left" w:pos="3120"/>
        </w:tabs>
        <w:spacing w:line="360" w:lineRule="auto"/>
        <w:ind w:firstLine="397"/>
      </w:pPr>
      <w:r>
        <w:rPr>
          <w:rFonts w:hint="eastAsia"/>
        </w:rPr>
        <w:t>第（</w:t>
      </w:r>
      <w:r>
        <w:t>4</w:t>
      </w:r>
      <w:r>
        <w:rPr>
          <w:rFonts w:hint="eastAsia"/>
        </w:rPr>
        <w:t>）款修改为：</w:t>
      </w:r>
    </w:p>
    <w:p w14:paraId="78AFC220">
      <w:pPr>
        <w:tabs>
          <w:tab w:val="left" w:pos="3120"/>
        </w:tabs>
        <w:spacing w:line="360" w:lineRule="auto"/>
        <w:ind w:firstLine="397"/>
      </w:pPr>
      <w:r>
        <w:rPr>
          <w:rFonts w:hint="eastAsia"/>
        </w:rPr>
        <w:t>（</w:t>
      </w:r>
      <w:r>
        <w:t>4</w:t>
      </w:r>
      <w:r>
        <w:rPr>
          <w:rFonts w:hint="eastAsia"/>
        </w:rPr>
        <w:t>）混凝土外加剂应满足《公路桥涵施工技术规范》（</w:t>
      </w:r>
      <w:r>
        <w:t>JTG/T 3650-2020</w:t>
      </w:r>
      <w:r>
        <w:rPr>
          <w:rFonts w:hint="eastAsia"/>
        </w:rPr>
        <w:t>）</w:t>
      </w:r>
      <w:r>
        <w:t>6.6</w:t>
      </w:r>
      <w:r>
        <w:rPr>
          <w:rFonts w:hint="eastAsia"/>
        </w:rPr>
        <w:t>条的相关规定。不同品种的外加剂应分别储存，做好标记，在运输与储存时不得混入杂物和遭受污染。</w:t>
      </w:r>
    </w:p>
    <w:p w14:paraId="630265CD">
      <w:pPr>
        <w:tabs>
          <w:tab w:val="left" w:pos="3120"/>
        </w:tabs>
        <w:spacing w:line="360" w:lineRule="auto"/>
        <w:ind w:firstLine="397"/>
      </w:pPr>
      <w:r>
        <w:t>2</w:t>
      </w:r>
      <w:r>
        <w:rPr>
          <w:rFonts w:hint="eastAsia"/>
        </w:rPr>
        <w:t>．混合材料</w:t>
      </w:r>
    </w:p>
    <w:p w14:paraId="3C37D895">
      <w:pPr>
        <w:tabs>
          <w:tab w:val="left" w:pos="3120"/>
        </w:tabs>
        <w:spacing w:line="360" w:lineRule="auto"/>
        <w:ind w:firstLine="397"/>
      </w:pPr>
      <w:r>
        <w:rPr>
          <w:rFonts w:hint="eastAsia"/>
        </w:rPr>
        <w:t>补充第（</w:t>
      </w:r>
      <w:r>
        <w:t>3</w:t>
      </w:r>
      <w:r>
        <w:rPr>
          <w:rFonts w:hint="eastAsia"/>
        </w:rPr>
        <w:t>）款：</w:t>
      </w:r>
    </w:p>
    <w:p w14:paraId="4D3C92E0">
      <w:pPr>
        <w:tabs>
          <w:tab w:val="left" w:pos="3120"/>
        </w:tabs>
        <w:spacing w:line="360" w:lineRule="auto"/>
        <w:ind w:firstLine="397"/>
      </w:pPr>
      <w:r>
        <w:rPr>
          <w:rFonts w:hint="eastAsia"/>
        </w:rPr>
        <w:t>（</w:t>
      </w:r>
      <w:r>
        <w:t>3</w:t>
      </w:r>
      <w:r>
        <w:rPr>
          <w:rFonts w:hint="eastAsia"/>
        </w:rPr>
        <w:t>）粉煤灰必须来自燃煤工艺先进的电厂，选用组分均匀、各项性能指标稳定的低钙灰。粉煤灰的品质，应首先注重烧失量和需水量比。本工程粉煤灰的烧失量不大于</w:t>
      </w:r>
      <w:r>
        <w:t>5%</w:t>
      </w:r>
      <w:r>
        <w:rPr>
          <w:rFonts w:hint="eastAsia"/>
        </w:rPr>
        <w:t>（对预应力箱梁混凝土，烧失量不宜大于</w:t>
      </w:r>
      <w:r>
        <w:t>3%</w:t>
      </w:r>
      <w:r>
        <w:rPr>
          <w:rFonts w:hint="eastAsia"/>
        </w:rPr>
        <w:t>），需水量比不大于</w:t>
      </w:r>
      <w:r>
        <w:t>100%</w:t>
      </w:r>
      <w:r>
        <w:rPr>
          <w:rFonts w:hint="eastAsia"/>
        </w:rPr>
        <w:t>，三氧化硫含量不大于</w:t>
      </w:r>
      <w:r>
        <w:t>3%</w:t>
      </w:r>
      <w:r>
        <w:rPr>
          <w:rFonts w:hint="eastAsia"/>
        </w:rPr>
        <w:t>，其它指标应符合国家标准《用于水泥和混凝土中的粉煤灰》（</w:t>
      </w:r>
      <w:r>
        <w:t>GB/T1596-2017</w:t>
      </w:r>
      <w:r>
        <w:rPr>
          <w:rFonts w:hint="eastAsia"/>
        </w:rPr>
        <w:t>）的规定中</w:t>
      </w:r>
      <w:r>
        <w:t>II</w:t>
      </w:r>
      <w:r>
        <w:rPr>
          <w:rFonts w:hint="eastAsia"/>
        </w:rPr>
        <w:t>级粉煤灰要求。</w:t>
      </w:r>
    </w:p>
    <w:p w14:paraId="5AF9C11F">
      <w:pPr>
        <w:spacing w:line="360" w:lineRule="auto"/>
        <w:rPr>
          <w:rFonts w:eastAsia="黑体"/>
          <w:sz w:val="28"/>
          <w:szCs w:val="28"/>
        </w:rPr>
      </w:pPr>
      <w:r>
        <w:rPr>
          <w:rFonts w:eastAsia="黑体"/>
          <w:sz w:val="28"/>
          <w:szCs w:val="28"/>
        </w:rPr>
        <w:t xml:space="preserve">410.07 </w:t>
      </w:r>
      <w:r>
        <w:rPr>
          <w:rFonts w:hint="eastAsia" w:eastAsia="黑体"/>
          <w:sz w:val="28"/>
          <w:szCs w:val="28"/>
        </w:rPr>
        <w:t>材料运输和存贮</w:t>
      </w:r>
    </w:p>
    <w:p w14:paraId="41CCDA98">
      <w:pPr>
        <w:tabs>
          <w:tab w:val="left" w:pos="3120"/>
        </w:tabs>
        <w:spacing w:line="360" w:lineRule="auto"/>
        <w:ind w:firstLine="397"/>
      </w:pPr>
      <w:r>
        <w:t>1</w:t>
      </w:r>
      <w:r>
        <w:rPr>
          <w:rFonts w:hint="eastAsia"/>
        </w:rPr>
        <w:t>．集料</w:t>
      </w:r>
    </w:p>
    <w:p w14:paraId="39531F26">
      <w:pPr>
        <w:tabs>
          <w:tab w:val="left" w:pos="3120"/>
        </w:tabs>
        <w:spacing w:line="360" w:lineRule="auto"/>
        <w:ind w:firstLine="397"/>
      </w:pPr>
      <w:r>
        <w:rPr>
          <w:rFonts w:hint="eastAsia"/>
        </w:rPr>
        <w:t>第（</w:t>
      </w:r>
      <w:r>
        <w:t>2</w:t>
      </w:r>
      <w:r>
        <w:rPr>
          <w:rFonts w:hint="eastAsia"/>
        </w:rPr>
        <w:t>）款修改为：</w:t>
      </w:r>
    </w:p>
    <w:p w14:paraId="424511ED">
      <w:pPr>
        <w:tabs>
          <w:tab w:val="left" w:pos="3120"/>
        </w:tabs>
        <w:spacing w:line="360" w:lineRule="auto"/>
        <w:ind w:firstLine="397"/>
      </w:pPr>
      <w:r>
        <w:rPr>
          <w:rFonts w:hint="eastAsia"/>
        </w:rPr>
        <w:t>（</w:t>
      </w:r>
      <w:r>
        <w:t>2</w:t>
      </w:r>
      <w:r>
        <w:rPr>
          <w:rFonts w:hint="eastAsia"/>
        </w:rPr>
        <w:t>）混合料所使用的同规格材料，特别是集料，施工现场要设置至少两个储料场（仓、区），防止未经试验检测的材料用于工程中。同时应分别挂牌标明</w:t>
      </w:r>
      <w:r>
        <w:t>“</w:t>
      </w:r>
      <w:r>
        <w:rPr>
          <w:rFonts w:hint="eastAsia"/>
        </w:rPr>
        <w:t>已检合格区、已检不合格区、待检区。</w:t>
      </w:r>
      <w:r>
        <w:t>”</w:t>
      </w:r>
    </w:p>
    <w:p w14:paraId="0D054988">
      <w:pPr>
        <w:spacing w:line="360" w:lineRule="auto"/>
        <w:rPr>
          <w:rFonts w:eastAsia="黑体"/>
          <w:sz w:val="28"/>
          <w:szCs w:val="28"/>
        </w:rPr>
      </w:pPr>
      <w:r>
        <w:rPr>
          <w:rFonts w:eastAsia="黑体"/>
          <w:sz w:val="28"/>
          <w:szCs w:val="28"/>
        </w:rPr>
        <w:t xml:space="preserve">410.10  </w:t>
      </w:r>
      <w:r>
        <w:rPr>
          <w:rFonts w:hint="eastAsia" w:eastAsia="黑体"/>
          <w:sz w:val="28"/>
          <w:szCs w:val="28"/>
        </w:rPr>
        <w:t>混凝土浇筑</w:t>
      </w:r>
    </w:p>
    <w:p w14:paraId="226CB728">
      <w:pPr>
        <w:tabs>
          <w:tab w:val="left" w:pos="3120"/>
        </w:tabs>
        <w:spacing w:line="360" w:lineRule="auto"/>
        <w:ind w:firstLine="397"/>
      </w:pPr>
      <w:r>
        <w:t>3</w:t>
      </w:r>
      <w:r>
        <w:rPr>
          <w:rFonts w:hint="eastAsia"/>
        </w:rPr>
        <w:t>．大体积混凝土的浇筑</w:t>
      </w:r>
    </w:p>
    <w:p w14:paraId="654A1FEB">
      <w:pPr>
        <w:tabs>
          <w:tab w:val="left" w:pos="3120"/>
        </w:tabs>
        <w:spacing w:line="360" w:lineRule="auto"/>
        <w:ind w:firstLine="397"/>
      </w:pPr>
      <w:r>
        <w:rPr>
          <w:rFonts w:hint="eastAsia"/>
        </w:rPr>
        <w:t>补充第（</w:t>
      </w:r>
      <w:r>
        <w:t>6</w:t>
      </w:r>
      <w:r>
        <w:rPr>
          <w:rFonts w:hint="eastAsia"/>
        </w:rPr>
        <w:t>）、（</w:t>
      </w:r>
      <w:r>
        <w:t>7</w:t>
      </w:r>
      <w:r>
        <w:rPr>
          <w:rFonts w:hint="eastAsia"/>
        </w:rPr>
        <w:t>）款：</w:t>
      </w:r>
    </w:p>
    <w:p w14:paraId="5B93042C">
      <w:pPr>
        <w:tabs>
          <w:tab w:val="left" w:pos="3120"/>
        </w:tabs>
        <w:spacing w:line="360" w:lineRule="auto"/>
        <w:ind w:firstLine="397"/>
      </w:pPr>
      <w:r>
        <w:rPr>
          <w:rFonts w:hint="eastAsia"/>
        </w:rPr>
        <w:t>（</w:t>
      </w:r>
      <w:r>
        <w:t>6</w:t>
      </w:r>
      <w:r>
        <w:rPr>
          <w:rFonts w:hint="eastAsia"/>
        </w:rPr>
        <w:t>）热期施工时，宜采取措施降低混凝土的入模温度。混凝土的入模温度一般不宜超过28℃。新浇混凝土与邻接的已硬化混凝土或岩土介质之间的温差不大于20℃，混凝土表面的接触物（如喷涂的养护剂）与混凝土表面温度之差不大于15℃。</w:t>
      </w:r>
    </w:p>
    <w:p w14:paraId="54F782F1">
      <w:pPr>
        <w:tabs>
          <w:tab w:val="left" w:pos="3120"/>
        </w:tabs>
        <w:spacing w:line="360" w:lineRule="auto"/>
        <w:ind w:firstLine="397"/>
      </w:pPr>
      <w:r>
        <w:rPr>
          <w:rFonts w:hint="eastAsia"/>
        </w:rPr>
        <w:t>（</w:t>
      </w:r>
      <w:r>
        <w:t>7</w:t>
      </w:r>
      <w:r>
        <w:rPr>
          <w:rFonts w:hint="eastAsia"/>
        </w:rPr>
        <w:t>）对于大体积混凝土，应选用水化热低的水泥，选择合适的配合比，并通过水化热计算采取合理的温控措施；同时应制定混凝土温控专项方案，按批准的方案实施。</w:t>
      </w:r>
    </w:p>
    <w:p w14:paraId="7407C653">
      <w:pPr>
        <w:spacing w:line="360" w:lineRule="auto"/>
        <w:rPr>
          <w:rFonts w:eastAsia="黑体"/>
          <w:sz w:val="28"/>
          <w:szCs w:val="28"/>
        </w:rPr>
      </w:pPr>
      <w:r>
        <w:rPr>
          <w:rFonts w:eastAsia="黑体"/>
          <w:sz w:val="28"/>
          <w:szCs w:val="28"/>
        </w:rPr>
        <w:t xml:space="preserve">410.15  </w:t>
      </w:r>
      <w:r>
        <w:rPr>
          <w:rFonts w:hint="eastAsia" w:eastAsia="黑体"/>
          <w:sz w:val="28"/>
          <w:szCs w:val="28"/>
        </w:rPr>
        <w:t>混凝土表面的修整</w:t>
      </w:r>
    </w:p>
    <w:p w14:paraId="2C883451">
      <w:pPr>
        <w:tabs>
          <w:tab w:val="left" w:pos="3120"/>
        </w:tabs>
        <w:spacing w:line="360" w:lineRule="auto"/>
        <w:ind w:firstLine="397"/>
      </w:pPr>
      <w:r>
        <w:rPr>
          <w:rFonts w:hint="eastAsia"/>
        </w:rPr>
        <w:t>补充第</w:t>
      </w:r>
      <w:r>
        <w:t>9</w:t>
      </w:r>
      <w:r>
        <w:rPr>
          <w:rFonts w:hint="eastAsia"/>
        </w:rPr>
        <w:t>条：</w:t>
      </w:r>
    </w:p>
    <w:p w14:paraId="17C74553">
      <w:pPr>
        <w:tabs>
          <w:tab w:val="left" w:pos="3120"/>
        </w:tabs>
        <w:spacing w:line="360" w:lineRule="auto"/>
        <w:ind w:firstLine="397"/>
      </w:pPr>
      <w:r>
        <w:t>9</w:t>
      </w:r>
      <w:r>
        <w:rPr>
          <w:rFonts w:hint="eastAsia"/>
        </w:rPr>
        <w:t>．混凝土表面的任何修整，均要在交工验收（质量鉴定）后才可由监理人批准实施。</w:t>
      </w:r>
    </w:p>
    <w:p w14:paraId="3F087F00">
      <w:pPr>
        <w:tabs>
          <w:tab w:val="left" w:pos="3120"/>
        </w:tabs>
        <w:spacing w:line="360" w:lineRule="auto"/>
        <w:ind w:firstLine="397"/>
      </w:pPr>
    </w:p>
    <w:p w14:paraId="21231F63">
      <w:pPr>
        <w:pStyle w:val="7"/>
        <w:rPr>
          <w:sz w:val="32"/>
        </w:rPr>
      </w:pPr>
      <w:bookmarkStart w:id="419" w:name="_Toc154675178"/>
      <w:r>
        <w:rPr>
          <w:rFonts w:hint="eastAsia"/>
          <w:sz w:val="32"/>
        </w:rPr>
        <w:t>第</w:t>
      </w:r>
      <w:r>
        <w:rPr>
          <w:sz w:val="32"/>
        </w:rPr>
        <w:t>411</w:t>
      </w:r>
      <w:r>
        <w:rPr>
          <w:rFonts w:hint="eastAsia"/>
          <w:sz w:val="32"/>
        </w:rPr>
        <w:t>节</w:t>
      </w:r>
      <w:r>
        <w:rPr>
          <w:sz w:val="32"/>
        </w:rPr>
        <w:t xml:space="preserve">  </w:t>
      </w:r>
      <w:r>
        <w:rPr>
          <w:rFonts w:hint="eastAsia"/>
          <w:sz w:val="32"/>
        </w:rPr>
        <w:t>预应力混凝土工程</w:t>
      </w:r>
      <w:bookmarkEnd w:id="419"/>
    </w:p>
    <w:p w14:paraId="238EBC64">
      <w:pPr>
        <w:spacing w:line="360" w:lineRule="exact"/>
        <w:jc w:val="center"/>
        <w:rPr>
          <w:rFonts w:eastAsia="方正姚体"/>
          <w:sz w:val="32"/>
        </w:rPr>
      </w:pPr>
    </w:p>
    <w:p w14:paraId="06BE16B0">
      <w:pPr>
        <w:spacing w:line="360" w:lineRule="auto"/>
        <w:rPr>
          <w:rFonts w:eastAsia="黑体"/>
        </w:rPr>
      </w:pPr>
      <w:r>
        <w:rPr>
          <w:rFonts w:eastAsia="黑体"/>
          <w:sz w:val="28"/>
          <w:szCs w:val="28"/>
        </w:rPr>
        <w:t xml:space="preserve">411.02  </w:t>
      </w:r>
      <w:r>
        <w:rPr>
          <w:rFonts w:hint="eastAsia" w:eastAsia="黑体"/>
          <w:sz w:val="28"/>
          <w:szCs w:val="28"/>
        </w:rPr>
        <w:t>一般要求</w:t>
      </w:r>
    </w:p>
    <w:p w14:paraId="53144E2D">
      <w:pPr>
        <w:tabs>
          <w:tab w:val="left" w:pos="3120"/>
        </w:tabs>
        <w:spacing w:line="360" w:lineRule="auto"/>
        <w:ind w:firstLine="397"/>
      </w:pPr>
      <w:r>
        <w:t>1</w:t>
      </w:r>
      <w:r>
        <w:rPr>
          <w:rFonts w:hint="eastAsia"/>
        </w:rPr>
        <w:t>．预应力系统</w:t>
      </w:r>
    </w:p>
    <w:p w14:paraId="5E494FD2">
      <w:pPr>
        <w:tabs>
          <w:tab w:val="left" w:pos="3120"/>
        </w:tabs>
        <w:spacing w:line="360" w:lineRule="auto"/>
        <w:ind w:firstLine="397"/>
      </w:pPr>
      <w:r>
        <w:rPr>
          <w:rFonts w:hint="eastAsia"/>
        </w:rPr>
        <w:t>补充第（</w:t>
      </w:r>
      <w:r>
        <w:t>4</w:t>
      </w:r>
      <w:r>
        <w:rPr>
          <w:rFonts w:hint="eastAsia"/>
        </w:rPr>
        <w:t>）款：</w:t>
      </w:r>
    </w:p>
    <w:p w14:paraId="448A5E68">
      <w:pPr>
        <w:tabs>
          <w:tab w:val="left" w:pos="3120"/>
        </w:tabs>
        <w:spacing w:line="360" w:lineRule="auto"/>
        <w:ind w:firstLine="397"/>
      </w:pPr>
      <w:r>
        <w:rPr>
          <w:rFonts w:hint="eastAsia"/>
        </w:rPr>
        <w:t>（</w:t>
      </w:r>
      <w:r>
        <w:t>4</w:t>
      </w:r>
      <w:r>
        <w:rPr>
          <w:rFonts w:hint="eastAsia"/>
        </w:rPr>
        <w:t>）所有预应力张拉（含压浆）工作，必须有监理人在现场进行全过程监理，并在原始记录上签字。承包人应在</w:t>
      </w:r>
      <w:r>
        <w:t>14d</w:t>
      </w:r>
      <w:r>
        <w:rPr>
          <w:rFonts w:hint="eastAsia"/>
        </w:rPr>
        <w:t>内向监理人和中心试验室报送记录复印件。张拉作业均须采用智能化设备，压浆作业均须采用真空压浆。承包人在开展预应力混凝土工程孔道张拉压浆施工前，须进行压浆工艺试验、孔道摩阻试验和弹模试验等各项预应力施工相关的试验（承包人不具备相应资质时，须委托有相应资质的第三方进行，同时须经监理人、发包人的认可同意），经检测试验各项技术指标均符合设计要求及相关规定，同时承包人应立即提出试验总结报告，由监理人、发包人和设计人审查同意，并经监理人验收合格后方可正式大面积开工。</w:t>
      </w:r>
    </w:p>
    <w:p w14:paraId="6DC6066A">
      <w:pPr>
        <w:tabs>
          <w:tab w:val="left" w:pos="3120"/>
        </w:tabs>
        <w:spacing w:line="360" w:lineRule="auto"/>
        <w:ind w:firstLine="397"/>
      </w:pPr>
      <w:r>
        <w:rPr>
          <w:rFonts w:hint="eastAsia"/>
        </w:rPr>
        <w:t>（</w:t>
      </w:r>
      <w:r>
        <w:t>5</w:t>
      </w:r>
      <w:r>
        <w:rPr>
          <w:rFonts w:hint="eastAsia"/>
        </w:rPr>
        <w:t>）预应力体系应符合国际预应力混凝土协会（</w:t>
      </w:r>
      <w:r>
        <w:t>FIP</w:t>
      </w:r>
      <w:r>
        <w:rPr>
          <w:rFonts w:hint="eastAsia"/>
        </w:rPr>
        <w:t>）《后张预应力体系的验收建议》（</w:t>
      </w:r>
      <w:r>
        <w:t>FIP 93</w:t>
      </w:r>
      <w:r>
        <w:rPr>
          <w:rFonts w:hint="eastAsia"/>
        </w:rPr>
        <w:t>）的要求。施工方法按照《公路桥涵施工技术规范》（</w:t>
      </w:r>
      <w:r>
        <w:t>JTG/T 3650-2020</w:t>
      </w:r>
      <w:r>
        <w:rPr>
          <w:rFonts w:hint="eastAsia"/>
        </w:rPr>
        <w:t>）、浙江省交通厅文件《关于进一步加强桥梁预应力施工质量管理的通知》及《浙江省公路桥梁预应力孔道压浆技术指南》的有关规定执行。预应力管道采用塑料波纹管的，应满足《预应力混凝土桥梁用塑料波纹管》（</w:t>
      </w:r>
      <w:r>
        <w:t>JT/T529-2016</w:t>
      </w:r>
      <w:r>
        <w:rPr>
          <w:rFonts w:hint="eastAsia"/>
        </w:rPr>
        <w:t>）的要求，预应力管道采用金属波纹管的，应满足《预应力混凝土用金属波纹管》（</w:t>
      </w:r>
      <w:r>
        <w:t>JG/T 225-2020</w:t>
      </w:r>
      <w:r>
        <w:rPr>
          <w:rFonts w:hint="eastAsia"/>
        </w:rPr>
        <w:t>）的要求。锚下螺旋筋必须与锚具配套，张拉采用智能张拉工艺。预应力筋张拉完后，应在</w:t>
      </w:r>
      <w:r>
        <w:t>24h</w:t>
      </w:r>
      <w:r>
        <w:rPr>
          <w:rFonts w:hint="eastAsia"/>
        </w:rPr>
        <w:t>内进行孔道压浆工作，压浆采用真空吸浆法技术施工，采用专用压浆料和专用压浆剂配置的浆液进行压浆，要求浆液无泌水，充盈度合格，确保压浆质量。管道应考虑设置检查孔，压浆后应通过检查孔检查压浆的密实情况，如有不实，应及时进行补压处理。</w:t>
      </w:r>
    </w:p>
    <w:p w14:paraId="2CEB89CE">
      <w:pPr>
        <w:tabs>
          <w:tab w:val="left" w:pos="3120"/>
        </w:tabs>
        <w:spacing w:line="360" w:lineRule="auto"/>
        <w:ind w:firstLine="397"/>
      </w:pPr>
      <w:r>
        <w:rPr>
          <w:rFonts w:hint="eastAsia"/>
        </w:rPr>
        <w:t>补充第</w:t>
      </w:r>
      <w:r>
        <w:t>4</w:t>
      </w:r>
      <w:r>
        <w:rPr>
          <w:rFonts w:hint="eastAsia"/>
        </w:rPr>
        <w:t>条：</w:t>
      </w:r>
    </w:p>
    <w:p w14:paraId="00090BD5">
      <w:pPr>
        <w:tabs>
          <w:tab w:val="left" w:pos="3120"/>
        </w:tabs>
        <w:spacing w:line="360" w:lineRule="auto"/>
        <w:ind w:firstLine="397"/>
      </w:pPr>
      <w:r>
        <w:t>4</w:t>
      </w:r>
      <w:r>
        <w:rPr>
          <w:rFonts w:hint="eastAsia"/>
        </w:rPr>
        <w:t>、混凝土构件预制还应满足浙江省交通运输厅《关于进一步加强公路水运工程混凝土构件预制管理的通知》和浙江省交通厅文件《关于进一步加强桥梁预应力施工质量管理的通知》等的要求。</w:t>
      </w:r>
    </w:p>
    <w:p w14:paraId="79416EAC">
      <w:pPr>
        <w:spacing w:line="360" w:lineRule="auto"/>
        <w:rPr>
          <w:rFonts w:eastAsia="黑体"/>
          <w:sz w:val="28"/>
          <w:szCs w:val="28"/>
        </w:rPr>
      </w:pPr>
      <w:r>
        <w:rPr>
          <w:rFonts w:eastAsia="黑体"/>
          <w:sz w:val="28"/>
          <w:szCs w:val="28"/>
        </w:rPr>
        <w:t xml:space="preserve">411.03 </w:t>
      </w:r>
      <w:r>
        <w:rPr>
          <w:rFonts w:hint="eastAsia" w:eastAsia="黑体"/>
          <w:sz w:val="28"/>
          <w:szCs w:val="28"/>
        </w:rPr>
        <w:t>材料</w:t>
      </w:r>
    </w:p>
    <w:p w14:paraId="44F22AF5">
      <w:pPr>
        <w:tabs>
          <w:tab w:val="left" w:pos="3120"/>
        </w:tabs>
        <w:spacing w:line="360" w:lineRule="auto"/>
        <w:ind w:firstLine="397"/>
      </w:pPr>
      <w:r>
        <w:t>3.</w:t>
      </w:r>
      <w:r>
        <w:rPr>
          <w:rFonts w:hint="eastAsia"/>
        </w:rPr>
        <w:t>预应力钢筋管道</w:t>
      </w:r>
    </w:p>
    <w:p w14:paraId="4A1A0134">
      <w:pPr>
        <w:tabs>
          <w:tab w:val="left" w:pos="3120"/>
        </w:tabs>
        <w:spacing w:line="360" w:lineRule="auto"/>
        <w:ind w:firstLine="397"/>
      </w:pPr>
      <w:r>
        <w:rPr>
          <w:rFonts w:hint="eastAsia"/>
        </w:rPr>
        <w:t>第（</w:t>
      </w:r>
      <w:r>
        <w:t>2</w:t>
      </w:r>
      <w:r>
        <w:rPr>
          <w:rFonts w:hint="eastAsia"/>
        </w:rPr>
        <w:t>）款金属螺旋管</w:t>
      </w:r>
    </w:p>
    <w:p w14:paraId="33CCE800">
      <w:pPr>
        <w:tabs>
          <w:tab w:val="left" w:pos="3120"/>
        </w:tabs>
        <w:spacing w:line="360" w:lineRule="auto"/>
        <w:ind w:firstLine="397"/>
      </w:pPr>
      <w:r>
        <w:rPr>
          <w:rFonts w:hint="eastAsia"/>
        </w:rPr>
        <w:t>第</w:t>
      </w:r>
      <w:r>
        <w:t>b</w:t>
      </w:r>
      <w:r>
        <w:rPr>
          <w:rFonts w:hint="eastAsia"/>
        </w:rPr>
        <w:t>项修改为：</w:t>
      </w:r>
    </w:p>
    <w:p w14:paraId="293ABE20">
      <w:pPr>
        <w:tabs>
          <w:tab w:val="left" w:pos="3120"/>
        </w:tabs>
        <w:spacing w:line="360" w:lineRule="auto"/>
        <w:ind w:firstLine="397"/>
      </w:pPr>
      <w:r>
        <w:t>b.</w:t>
      </w:r>
      <w:r>
        <w:rPr>
          <w:rFonts w:hint="eastAsia"/>
        </w:rPr>
        <w:t>金属波纹管进入施工现场时，除应按出厂合格证和质量保证书核对类别、型号、规格及数量外。还按《预应力混凝土用金属波纹管》（</w:t>
      </w:r>
      <w:r>
        <w:t>JG225-2020</w:t>
      </w:r>
      <w:r>
        <w:rPr>
          <w:rFonts w:hint="eastAsia"/>
        </w:rPr>
        <w:t>）</w:t>
      </w:r>
      <w:r>
        <w:t xml:space="preserve"> </w:t>
      </w:r>
      <w:r>
        <w:rPr>
          <w:rFonts w:hint="eastAsia"/>
        </w:rPr>
        <w:t>的规定对其外观、尺寸、集中荷载下的径向刚度、荷载作用后的抗渗漏等进行检验。自制的管道也应进行上述检验。所有金属波纹管应按《公路桥涵施工技术规范》（</w:t>
      </w:r>
      <w:r>
        <w:t>JTG/T 3650-2020</w:t>
      </w:r>
      <w:r>
        <w:rPr>
          <w:rFonts w:hint="eastAsia"/>
        </w:rPr>
        <w:t>）第</w:t>
      </w:r>
      <w:r>
        <w:t>7.4</w:t>
      </w:r>
      <w:r>
        <w:rPr>
          <w:rFonts w:hint="eastAsia"/>
        </w:rPr>
        <w:t>条的规定取样、检验。其质量符合要求后，方可使用于工程中，严禁使用不合格产品。</w:t>
      </w:r>
      <w:r>
        <w:t>.</w:t>
      </w:r>
    </w:p>
    <w:p w14:paraId="41410910">
      <w:pPr>
        <w:tabs>
          <w:tab w:val="left" w:pos="3120"/>
        </w:tabs>
        <w:spacing w:line="360" w:lineRule="auto"/>
        <w:ind w:firstLine="397"/>
      </w:pPr>
      <w:r>
        <w:rPr>
          <w:rFonts w:hint="eastAsia"/>
        </w:rPr>
        <w:t>第（</w:t>
      </w:r>
      <w:r>
        <w:t>3</w:t>
      </w:r>
      <w:r>
        <w:rPr>
          <w:rFonts w:hint="eastAsia"/>
        </w:rPr>
        <w:t>）款塑料波纹管</w:t>
      </w:r>
    </w:p>
    <w:p w14:paraId="591ACCAD">
      <w:pPr>
        <w:tabs>
          <w:tab w:val="left" w:pos="3120"/>
        </w:tabs>
        <w:spacing w:line="360" w:lineRule="auto"/>
        <w:ind w:firstLine="397"/>
      </w:pPr>
      <w:r>
        <w:rPr>
          <w:rFonts w:hint="eastAsia"/>
        </w:rPr>
        <w:t>第</w:t>
      </w:r>
      <w:r>
        <w:t>b</w:t>
      </w:r>
      <w:r>
        <w:rPr>
          <w:rFonts w:hint="eastAsia"/>
        </w:rPr>
        <w:t>项修改为：</w:t>
      </w:r>
    </w:p>
    <w:p w14:paraId="23B681C6">
      <w:pPr>
        <w:tabs>
          <w:tab w:val="left" w:pos="3120"/>
        </w:tabs>
        <w:spacing w:line="360" w:lineRule="auto"/>
        <w:ind w:firstLine="397"/>
      </w:pPr>
      <w:r>
        <w:t>b.</w:t>
      </w:r>
      <w:r>
        <w:rPr>
          <w:rFonts w:hint="eastAsia"/>
        </w:rPr>
        <w:t>用于塑料波纹管的高密度聚乙烯树脂（</w:t>
      </w:r>
      <w:r>
        <w:t>HDPE</w:t>
      </w:r>
      <w:r>
        <w:rPr>
          <w:rFonts w:hint="eastAsia"/>
        </w:rPr>
        <w:t>）应满足《聚乙烯（</w:t>
      </w:r>
      <w:r>
        <w:t>PE</w:t>
      </w:r>
      <w:r>
        <w:rPr>
          <w:rFonts w:hint="eastAsia"/>
        </w:rPr>
        <w:t>）树脂》（</w:t>
      </w:r>
      <w:r>
        <w:t>GB/T 11115-2009</w:t>
      </w:r>
      <w:r>
        <w:rPr>
          <w:rFonts w:hint="eastAsia"/>
        </w:rPr>
        <w:t>）的规定，聚丙烯（</w:t>
      </w:r>
      <w:r>
        <w:t>PP</w:t>
      </w:r>
      <w:r>
        <w:rPr>
          <w:rFonts w:hint="eastAsia"/>
        </w:rPr>
        <w:t>）应满足《冷热水用聚丙烯管道系统第</w:t>
      </w:r>
      <w:r>
        <w:t>2</w:t>
      </w:r>
      <w:r>
        <w:rPr>
          <w:rFonts w:hint="eastAsia"/>
        </w:rPr>
        <w:t>部分</w:t>
      </w:r>
      <w:r>
        <w:t>:</w:t>
      </w:r>
      <w:r>
        <w:rPr>
          <w:rFonts w:hint="eastAsia"/>
        </w:rPr>
        <w:t>管材》（</w:t>
      </w:r>
      <w:r>
        <w:t>GB/T 18742.2-2017</w:t>
      </w:r>
      <w:r>
        <w:rPr>
          <w:rFonts w:hint="eastAsia"/>
        </w:rPr>
        <w:t>）的规定。</w:t>
      </w:r>
    </w:p>
    <w:p w14:paraId="1D72FCFE">
      <w:pPr>
        <w:spacing w:line="360" w:lineRule="auto"/>
        <w:rPr>
          <w:rFonts w:eastAsia="黑体"/>
          <w:sz w:val="28"/>
          <w:szCs w:val="28"/>
        </w:rPr>
      </w:pPr>
      <w:r>
        <w:rPr>
          <w:rFonts w:eastAsia="黑体"/>
          <w:sz w:val="28"/>
          <w:szCs w:val="28"/>
        </w:rPr>
        <w:t xml:space="preserve">411.04  </w:t>
      </w:r>
      <w:r>
        <w:rPr>
          <w:rFonts w:hint="eastAsia" w:eastAsia="黑体"/>
          <w:sz w:val="28"/>
          <w:szCs w:val="28"/>
        </w:rPr>
        <w:t>预应力钢材的搬运、存放和保护</w:t>
      </w:r>
    </w:p>
    <w:p w14:paraId="377C2661">
      <w:pPr>
        <w:tabs>
          <w:tab w:val="left" w:pos="3120"/>
        </w:tabs>
        <w:spacing w:line="360" w:lineRule="auto"/>
        <w:ind w:firstLine="397"/>
      </w:pPr>
      <w:r>
        <w:t>3</w:t>
      </w:r>
      <w:r>
        <w:rPr>
          <w:rFonts w:hint="eastAsia"/>
        </w:rPr>
        <w:t>．保护</w:t>
      </w:r>
    </w:p>
    <w:p w14:paraId="546769E9">
      <w:pPr>
        <w:tabs>
          <w:tab w:val="left" w:pos="3120"/>
        </w:tabs>
        <w:spacing w:line="360" w:lineRule="auto"/>
        <w:ind w:firstLine="397"/>
      </w:pPr>
      <w:r>
        <w:rPr>
          <w:rFonts w:hint="eastAsia"/>
        </w:rPr>
        <w:t>补充第（</w:t>
      </w:r>
      <w:r>
        <w:t>3</w:t>
      </w:r>
      <w:r>
        <w:rPr>
          <w:rFonts w:hint="eastAsia"/>
        </w:rPr>
        <w:t>）、（</w:t>
      </w:r>
      <w:r>
        <w:t>4</w:t>
      </w:r>
      <w:r>
        <w:rPr>
          <w:rFonts w:hint="eastAsia"/>
        </w:rPr>
        <w:t>）款：</w:t>
      </w:r>
    </w:p>
    <w:p w14:paraId="16C4480D">
      <w:pPr>
        <w:tabs>
          <w:tab w:val="left" w:pos="3120"/>
        </w:tabs>
        <w:spacing w:line="360" w:lineRule="auto"/>
        <w:ind w:firstLine="397"/>
      </w:pPr>
      <w:r>
        <w:rPr>
          <w:rFonts w:hint="eastAsia"/>
        </w:rPr>
        <w:t>（</w:t>
      </w:r>
      <w:r>
        <w:t>3</w:t>
      </w:r>
      <w:r>
        <w:rPr>
          <w:rFonts w:hint="eastAsia"/>
        </w:rPr>
        <w:t>）</w:t>
      </w:r>
      <w:r>
        <w:t xml:space="preserve"> </w:t>
      </w:r>
      <w:r>
        <w:rPr>
          <w:rFonts w:hint="eastAsia"/>
        </w:rPr>
        <w:t>预应力筋安装在管道中后，管道端部开口应密封以防止湿气进入，外露部分设置保护套。采用蒸汽养生时，在养生完成之前不得安装预应力筋。</w:t>
      </w:r>
    </w:p>
    <w:p w14:paraId="622400A1">
      <w:pPr>
        <w:tabs>
          <w:tab w:val="left" w:pos="3120"/>
        </w:tabs>
        <w:spacing w:line="360" w:lineRule="auto"/>
        <w:ind w:firstLine="397"/>
      </w:pPr>
      <w:r>
        <w:rPr>
          <w:rFonts w:hint="eastAsia"/>
        </w:rPr>
        <w:t>（</w:t>
      </w:r>
      <w:r>
        <w:t>4</w:t>
      </w:r>
      <w:r>
        <w:rPr>
          <w:rFonts w:hint="eastAsia"/>
        </w:rPr>
        <w:t>）</w:t>
      </w:r>
      <w:r>
        <w:t xml:space="preserve"> </w:t>
      </w:r>
      <w:r>
        <w:rPr>
          <w:rFonts w:hint="eastAsia"/>
        </w:rPr>
        <w:t>任何情况下，当在安装有预应力筋的构件附近进行电焊时，对全部预应力筋和金属件均应进行保护，防止溅上焊渣或造成其他损坏。</w:t>
      </w:r>
    </w:p>
    <w:p w14:paraId="14AB860A">
      <w:pPr>
        <w:spacing w:before="120" w:beforeLines="50" w:line="360" w:lineRule="auto"/>
        <w:rPr>
          <w:rFonts w:eastAsia="黑体"/>
          <w:sz w:val="28"/>
          <w:szCs w:val="28"/>
        </w:rPr>
      </w:pPr>
      <w:r>
        <w:rPr>
          <w:rFonts w:eastAsia="黑体"/>
          <w:sz w:val="28"/>
          <w:szCs w:val="28"/>
        </w:rPr>
        <w:t xml:space="preserve">411.05  </w:t>
      </w:r>
      <w:r>
        <w:rPr>
          <w:rFonts w:hint="eastAsia" w:eastAsia="黑体"/>
          <w:sz w:val="28"/>
          <w:szCs w:val="28"/>
        </w:rPr>
        <w:t>预应力钢材的加工和装置</w:t>
      </w:r>
    </w:p>
    <w:p w14:paraId="32B746D0">
      <w:pPr>
        <w:tabs>
          <w:tab w:val="left" w:pos="3120"/>
        </w:tabs>
        <w:spacing w:line="360" w:lineRule="auto"/>
        <w:ind w:firstLine="397"/>
      </w:pPr>
      <w:r>
        <w:rPr>
          <w:rFonts w:hint="eastAsia"/>
        </w:rPr>
        <w:t>补充第</w:t>
      </w:r>
      <w:r>
        <w:t>1</w:t>
      </w:r>
      <w:r>
        <w:rPr>
          <w:rFonts w:hint="eastAsia"/>
        </w:rPr>
        <w:t>、</w:t>
      </w:r>
      <w:r>
        <w:t>2</w:t>
      </w:r>
      <w:r>
        <w:rPr>
          <w:rFonts w:hint="eastAsia"/>
        </w:rPr>
        <w:t>条：</w:t>
      </w:r>
    </w:p>
    <w:p w14:paraId="17C3E055">
      <w:pPr>
        <w:tabs>
          <w:tab w:val="left" w:pos="3120"/>
        </w:tabs>
        <w:spacing w:line="360" w:lineRule="auto"/>
        <w:ind w:firstLine="397"/>
      </w:pPr>
      <w:r>
        <w:t>1.</w:t>
      </w:r>
      <w:r>
        <w:rPr>
          <w:rFonts w:hint="eastAsia"/>
        </w:rPr>
        <w:t>钢绞线应对号穿入波纹管内，同一孔道穿束应整束整穿或用穿索机将钢绞线逐根穿入。孔道内应畅通，无水和其他杂物。</w:t>
      </w:r>
    </w:p>
    <w:p w14:paraId="47B50C0F">
      <w:pPr>
        <w:tabs>
          <w:tab w:val="left" w:pos="3120"/>
        </w:tabs>
        <w:spacing w:line="360" w:lineRule="auto"/>
        <w:ind w:firstLine="397"/>
      </w:pPr>
      <w:r>
        <w:t>2.</w:t>
      </w:r>
      <w:r>
        <w:rPr>
          <w:rFonts w:hint="eastAsia"/>
        </w:rPr>
        <w:t>钢绞线放束时，应用混凝土硬化不小于</w:t>
      </w:r>
      <w:r>
        <w:t>1m</w:t>
      </w:r>
      <w:r>
        <w:rPr>
          <w:rFonts w:hint="eastAsia"/>
        </w:rPr>
        <w:t>宽的放束跑道，保证钢绞线不受机械损伤和泥土污染，防止雨水浸泡。</w:t>
      </w:r>
    </w:p>
    <w:p w14:paraId="51CF0EBF">
      <w:pPr>
        <w:spacing w:before="120" w:beforeLines="50" w:line="360" w:lineRule="auto"/>
        <w:rPr>
          <w:rFonts w:eastAsia="黑体"/>
          <w:sz w:val="28"/>
          <w:szCs w:val="28"/>
        </w:rPr>
      </w:pPr>
      <w:r>
        <w:rPr>
          <w:rFonts w:eastAsia="黑体"/>
          <w:sz w:val="28"/>
          <w:szCs w:val="28"/>
        </w:rPr>
        <w:t xml:space="preserve">411.06 </w:t>
      </w:r>
      <w:r>
        <w:rPr>
          <w:rFonts w:hint="eastAsia" w:eastAsia="黑体"/>
          <w:sz w:val="28"/>
          <w:szCs w:val="28"/>
        </w:rPr>
        <w:t>预应力钢筋管道的安装和成形</w:t>
      </w:r>
    </w:p>
    <w:p w14:paraId="6B858A80">
      <w:pPr>
        <w:tabs>
          <w:tab w:val="left" w:pos="3120"/>
        </w:tabs>
        <w:spacing w:line="360" w:lineRule="auto"/>
        <w:ind w:firstLine="397"/>
      </w:pPr>
      <w:r>
        <w:rPr>
          <w:rFonts w:hint="eastAsia"/>
        </w:rPr>
        <w:t>第</w:t>
      </w:r>
      <w:r>
        <w:t>2</w:t>
      </w:r>
      <w:r>
        <w:rPr>
          <w:rFonts w:hint="eastAsia"/>
        </w:rPr>
        <w:t>条修改为：</w:t>
      </w:r>
    </w:p>
    <w:p w14:paraId="7960B7FF">
      <w:pPr>
        <w:tabs>
          <w:tab w:val="left" w:pos="3120"/>
        </w:tabs>
        <w:spacing w:line="360" w:lineRule="auto"/>
        <w:ind w:firstLine="397"/>
      </w:pPr>
      <w:r>
        <w:t>2</w:t>
      </w:r>
      <w:r>
        <w:rPr>
          <w:rFonts w:hint="eastAsia"/>
        </w:rPr>
        <w:t>．塑料波纹管的安装</w:t>
      </w:r>
    </w:p>
    <w:p w14:paraId="37011923">
      <w:pPr>
        <w:tabs>
          <w:tab w:val="left" w:pos="3120"/>
        </w:tabs>
        <w:spacing w:line="360" w:lineRule="auto"/>
        <w:ind w:firstLine="397"/>
      </w:pPr>
      <w:r>
        <w:rPr>
          <w:rFonts w:hint="eastAsia"/>
        </w:rPr>
        <w:t>（</w:t>
      </w:r>
      <w:r>
        <w:t>1</w:t>
      </w:r>
      <w:r>
        <w:rPr>
          <w:rFonts w:hint="eastAsia"/>
        </w:rPr>
        <w:t>）塑料波纹管在安装前应通过</w:t>
      </w:r>
      <w:r>
        <w:t>1kN</w:t>
      </w:r>
      <w:r>
        <w:rPr>
          <w:rFonts w:hint="eastAsia"/>
        </w:rPr>
        <w:t>径向力的作用，且不变形，同时应做水密承压试验，以检查有无渗漏现象，确无变形、渗漏现象时始可使用。</w:t>
      </w:r>
    </w:p>
    <w:p w14:paraId="09D801FE">
      <w:pPr>
        <w:tabs>
          <w:tab w:val="left" w:pos="3120"/>
        </w:tabs>
        <w:spacing w:line="360" w:lineRule="auto"/>
        <w:ind w:firstLine="397"/>
      </w:pPr>
      <w:r>
        <w:rPr>
          <w:rFonts w:hint="eastAsia"/>
        </w:rPr>
        <w:t>（</w:t>
      </w:r>
      <w:r>
        <w:t>2</w:t>
      </w:r>
      <w:r>
        <w:rPr>
          <w:rFonts w:hint="eastAsia"/>
        </w:rPr>
        <w:t>）塑料波纹管的接长连接：塑料波纹管采用专用焊接机进行焊接或应采用本身具有密封性能且带有观察管的塑料结构连接器连接，避免浇筑混凝土时水泥浆渗入管内造成管道堵塞。</w:t>
      </w:r>
    </w:p>
    <w:p w14:paraId="221E3148">
      <w:pPr>
        <w:tabs>
          <w:tab w:val="left" w:pos="3120"/>
        </w:tabs>
        <w:spacing w:line="360" w:lineRule="auto"/>
        <w:ind w:firstLine="397"/>
      </w:pPr>
      <w:r>
        <w:rPr>
          <w:rFonts w:hint="eastAsia"/>
        </w:rPr>
        <w:t>（</w:t>
      </w:r>
      <w:r>
        <w:t>3</w:t>
      </w:r>
      <w:r>
        <w:rPr>
          <w:rFonts w:hint="eastAsia"/>
        </w:rPr>
        <w:t>）塑料波纹管管道和其接头应有足够的密封性以防止水泥浆渗漏及抽真空时漏气；且其强度应足以保持管道的形状，以防止在搬运和浇筑混凝土的过程中损坏；同时还应具有良好的柔韧性、耐磨性和绝缘性能。管道的材质不应与混凝土、预应力筋或水泥浆有不良的化学反应。</w:t>
      </w:r>
    </w:p>
    <w:p w14:paraId="5BA107D3">
      <w:pPr>
        <w:tabs>
          <w:tab w:val="left" w:pos="3120"/>
        </w:tabs>
        <w:spacing w:line="360" w:lineRule="auto"/>
        <w:ind w:firstLine="397"/>
      </w:pPr>
      <w:r>
        <w:rPr>
          <w:rFonts w:hint="eastAsia"/>
        </w:rPr>
        <w:t>（</w:t>
      </w:r>
      <w:r>
        <w:t>4</w:t>
      </w:r>
      <w:r>
        <w:rPr>
          <w:rFonts w:hint="eastAsia"/>
        </w:rPr>
        <w:t>）塑料波纹管与锚垫板的连接：用同一材料同一规格连接头连接，连接后用密封胶封口。</w:t>
      </w:r>
    </w:p>
    <w:p w14:paraId="70F3A87B">
      <w:pPr>
        <w:tabs>
          <w:tab w:val="left" w:pos="3120"/>
        </w:tabs>
        <w:spacing w:line="360" w:lineRule="auto"/>
        <w:ind w:firstLine="397"/>
      </w:pPr>
      <w:r>
        <w:rPr>
          <w:rFonts w:hint="eastAsia"/>
        </w:rPr>
        <w:t>（</w:t>
      </w:r>
      <w:r>
        <w:t>5</w:t>
      </w:r>
      <w:r>
        <w:rPr>
          <w:rFonts w:hint="eastAsia"/>
        </w:rPr>
        <w:t>）塑料波纹管与排气管的连接：在塑料波纹管上热熔排气孔，然后用同一材料弧型排气接头连接，用密封胶缠绕。</w:t>
      </w:r>
    </w:p>
    <w:p w14:paraId="2EBAE46C">
      <w:pPr>
        <w:tabs>
          <w:tab w:val="left" w:pos="3120"/>
        </w:tabs>
        <w:spacing w:line="360" w:lineRule="auto"/>
        <w:ind w:firstLine="397"/>
      </w:pPr>
      <w:r>
        <w:rPr>
          <w:rFonts w:hint="eastAsia"/>
        </w:rPr>
        <w:t>（</w:t>
      </w:r>
      <w:r>
        <w:t>6</w:t>
      </w:r>
      <w:r>
        <w:rPr>
          <w:rFonts w:hint="eastAsia"/>
        </w:rPr>
        <w:t>）塑料波纹管在布管安装前，应按设计规定的管道坐标进行放样，设置定位钢筋，塑料波纹管应固定在定位钢筋上用井字形钢筋电焊连接。定位网应焊接和定位牢固使其在混凝土浇筑期间管道不产生位移。</w:t>
      </w:r>
    </w:p>
    <w:p w14:paraId="662E98C6">
      <w:pPr>
        <w:tabs>
          <w:tab w:val="left" w:pos="3120"/>
        </w:tabs>
        <w:spacing w:line="360" w:lineRule="auto"/>
        <w:ind w:firstLine="397"/>
      </w:pPr>
      <w:r>
        <w:rPr>
          <w:rFonts w:hint="eastAsia"/>
        </w:rPr>
        <w:t>（</w:t>
      </w:r>
      <w:r>
        <w:t>7</w:t>
      </w:r>
      <w:r>
        <w:rPr>
          <w:rFonts w:hint="eastAsia"/>
        </w:rPr>
        <w:t>）安装塑料波纹管位置应准确，采用钢筋卡子以钢丝绑扎固定，避免管道在浇筑混凝土过程中产生移位。孔道应平顺，端部的预埋钢垫板应垂直于孔道中心线。</w:t>
      </w:r>
    </w:p>
    <w:p w14:paraId="05F102D5">
      <w:pPr>
        <w:tabs>
          <w:tab w:val="left" w:pos="3120"/>
        </w:tabs>
        <w:spacing w:line="360" w:lineRule="auto"/>
        <w:ind w:firstLine="397"/>
      </w:pPr>
      <w:r>
        <w:rPr>
          <w:rFonts w:hint="eastAsia"/>
        </w:rPr>
        <w:t>（</w:t>
      </w:r>
      <w:r>
        <w:t>8</w:t>
      </w:r>
      <w:r>
        <w:rPr>
          <w:rFonts w:hint="eastAsia"/>
        </w:rPr>
        <w:t>）所有管道的压浆孔、抽气孔应设在锚座上，排气孔应设在锚具的附件上。压浆管、排气管应是最小内径为</w:t>
      </w:r>
      <w:r>
        <w:t>20mm</w:t>
      </w:r>
      <w:r>
        <w:rPr>
          <w:rFonts w:hint="eastAsia"/>
        </w:rPr>
        <w:t>。</w:t>
      </w:r>
    </w:p>
    <w:p w14:paraId="5C2D2994">
      <w:pPr>
        <w:tabs>
          <w:tab w:val="left" w:pos="3120"/>
        </w:tabs>
        <w:spacing w:line="360" w:lineRule="auto"/>
        <w:ind w:firstLine="397"/>
      </w:pPr>
      <w:r>
        <w:rPr>
          <w:rFonts w:hint="eastAsia"/>
        </w:rPr>
        <w:t>（</w:t>
      </w:r>
      <w:r>
        <w:t>9</w:t>
      </w:r>
      <w:r>
        <w:rPr>
          <w:rFonts w:hint="eastAsia"/>
        </w:rPr>
        <w:t>）管道在模板内安装完毕后，应将其端部盖好，防止水或其他杂物进入。</w:t>
      </w:r>
    </w:p>
    <w:p w14:paraId="6F7589E1">
      <w:pPr>
        <w:tabs>
          <w:tab w:val="left" w:pos="3120"/>
        </w:tabs>
        <w:spacing w:line="360" w:lineRule="auto"/>
        <w:ind w:firstLine="397"/>
      </w:pPr>
      <w:r>
        <w:rPr>
          <w:rFonts w:hint="eastAsia"/>
        </w:rPr>
        <w:t>（</w:t>
      </w:r>
      <w:r>
        <w:t>10</w:t>
      </w:r>
      <w:r>
        <w:rPr>
          <w:rFonts w:hint="eastAsia"/>
        </w:rPr>
        <w:t>）塑料波纹管如有反复弯曲，在操作时应注意防止管壁破裂，同时应防止邻近电焊火花烧灼管壁。如有微小破损应及时修补并得到监理人的认可。</w:t>
      </w:r>
    </w:p>
    <w:p w14:paraId="42D47D80">
      <w:pPr>
        <w:tabs>
          <w:tab w:val="left" w:pos="3120"/>
        </w:tabs>
        <w:spacing w:line="360" w:lineRule="auto"/>
        <w:ind w:firstLine="397"/>
      </w:pPr>
      <w:r>
        <w:rPr>
          <w:rFonts w:hint="eastAsia"/>
        </w:rPr>
        <w:t>（</w:t>
      </w:r>
      <w:r>
        <w:t>11</w:t>
      </w:r>
      <w:r>
        <w:rPr>
          <w:rFonts w:hint="eastAsia"/>
        </w:rPr>
        <w:t>）在预应力管道中部每根波纹管最高处设三通管，以利于排气，保证压浆质量，更有利于检测孔道压浆饱满度</w:t>
      </w:r>
    </w:p>
    <w:p w14:paraId="00DFCDCF">
      <w:pPr>
        <w:tabs>
          <w:tab w:val="left" w:pos="3120"/>
        </w:tabs>
        <w:spacing w:line="360" w:lineRule="auto"/>
        <w:ind w:firstLine="397"/>
      </w:pPr>
      <w:r>
        <w:rPr>
          <w:rFonts w:hint="eastAsia"/>
        </w:rPr>
        <w:t>（</w:t>
      </w:r>
      <w:r>
        <w:t>12</w:t>
      </w:r>
      <w:r>
        <w:rPr>
          <w:rFonts w:hint="eastAsia"/>
        </w:rPr>
        <w:t>）</w:t>
      </w:r>
      <w:r>
        <w:t>T</w:t>
      </w:r>
      <w:r>
        <w:rPr>
          <w:rFonts w:hint="eastAsia"/>
        </w:rPr>
        <w:t>梁预应力束管道采用金属波纹管，金属波纹管应采用镀锌钢带制作，壁厚不小于</w:t>
      </w:r>
      <w:r>
        <w:t>0.3mm</w:t>
      </w:r>
      <w:r>
        <w:rPr>
          <w:rFonts w:hint="eastAsia"/>
        </w:rPr>
        <w:t>，现浇结构预应力束管道采用塑料波纹管，预应力管道压浆采用真空压浆工艺，预应力钢束管道必须保证位置正确，严禁漏浆，要求塑料波纹管</w:t>
      </w:r>
      <w:r>
        <w:t>μ</w:t>
      </w:r>
      <w:r>
        <w:rPr>
          <w:rFonts w:hint="eastAsia" w:ascii="宋体" w:hAnsi="宋体" w:cs="宋体"/>
        </w:rPr>
        <w:t>≤</w:t>
      </w:r>
      <w:r>
        <w:t>0.17</w:t>
      </w:r>
      <w:r>
        <w:rPr>
          <w:rFonts w:hint="eastAsia"/>
        </w:rPr>
        <w:t>，</w:t>
      </w:r>
      <w:r>
        <w:t>k</w:t>
      </w:r>
      <w:r>
        <w:rPr>
          <w:rFonts w:hint="eastAsia"/>
        </w:rPr>
        <w:t>＝</w:t>
      </w:r>
      <w:r>
        <w:t>0.0015</w:t>
      </w:r>
      <w:r>
        <w:rPr>
          <w:rFonts w:hint="eastAsia"/>
        </w:rPr>
        <w:t>，金属波纹管</w:t>
      </w:r>
      <w:r>
        <w:t>μ</w:t>
      </w:r>
      <w:r>
        <w:rPr>
          <w:rFonts w:hint="eastAsia" w:ascii="宋体" w:hAnsi="宋体" w:cs="宋体"/>
        </w:rPr>
        <w:t>≤</w:t>
      </w:r>
      <w:r>
        <w:t>0.20</w:t>
      </w:r>
      <w:r>
        <w:rPr>
          <w:rFonts w:hint="eastAsia"/>
        </w:rPr>
        <w:t>，</w:t>
      </w:r>
      <w:r>
        <w:t>k</w:t>
      </w:r>
      <w:r>
        <w:rPr>
          <w:rFonts w:hint="eastAsia"/>
        </w:rPr>
        <w:t>＝</w:t>
      </w:r>
      <w:r>
        <w:t>0.0015</w:t>
      </w:r>
      <w:r>
        <w:rPr>
          <w:rFonts w:hint="eastAsia"/>
        </w:rPr>
        <w:t>，塑料波纹管性能必须满足《预应力混凝土桥梁用塑料波纹管》（</w:t>
      </w:r>
      <w:r>
        <w:t>JT/T 529-2016</w:t>
      </w:r>
      <w:r>
        <w:rPr>
          <w:rFonts w:hint="eastAsia"/>
        </w:rPr>
        <w:t>）的要求，金属波纹管性能必须满足《预应力混凝土用金属波纹管》（</w:t>
      </w:r>
      <w:r>
        <w:t>JG/T 225-2020</w:t>
      </w:r>
      <w:r>
        <w:rPr>
          <w:rFonts w:hint="eastAsia"/>
        </w:rPr>
        <w:t>）的要求。</w:t>
      </w:r>
    </w:p>
    <w:p w14:paraId="1101C56C">
      <w:pPr>
        <w:spacing w:line="360" w:lineRule="auto"/>
        <w:rPr>
          <w:rFonts w:eastAsia="黑体"/>
          <w:sz w:val="28"/>
          <w:szCs w:val="28"/>
        </w:rPr>
      </w:pPr>
      <w:r>
        <w:rPr>
          <w:rFonts w:eastAsia="黑体"/>
          <w:sz w:val="28"/>
          <w:szCs w:val="28"/>
        </w:rPr>
        <w:t xml:space="preserve">411.07  </w:t>
      </w:r>
      <w:r>
        <w:rPr>
          <w:rFonts w:hint="eastAsia" w:eastAsia="黑体"/>
          <w:sz w:val="28"/>
          <w:szCs w:val="28"/>
        </w:rPr>
        <w:t>预应力混凝土的浇筑</w:t>
      </w:r>
    </w:p>
    <w:p w14:paraId="147A056B">
      <w:pPr>
        <w:tabs>
          <w:tab w:val="left" w:pos="3120"/>
        </w:tabs>
        <w:spacing w:line="360" w:lineRule="auto"/>
        <w:ind w:firstLine="397"/>
      </w:pPr>
      <w:r>
        <w:t>1.</w:t>
      </w:r>
      <w:r>
        <w:rPr>
          <w:rFonts w:hint="eastAsia"/>
        </w:rPr>
        <w:t>一般要求</w:t>
      </w:r>
    </w:p>
    <w:p w14:paraId="0B619082">
      <w:pPr>
        <w:tabs>
          <w:tab w:val="left" w:pos="3120"/>
        </w:tabs>
        <w:spacing w:line="360" w:lineRule="auto"/>
        <w:ind w:firstLine="397"/>
      </w:pPr>
      <w:r>
        <w:rPr>
          <w:rFonts w:hint="eastAsia"/>
        </w:rPr>
        <w:t>补充第（</w:t>
      </w:r>
      <w:r>
        <w:t>3</w:t>
      </w:r>
      <w:r>
        <w:rPr>
          <w:rFonts w:hint="eastAsia"/>
        </w:rPr>
        <w:t>）款：</w:t>
      </w:r>
    </w:p>
    <w:p w14:paraId="5B8D9771">
      <w:pPr>
        <w:tabs>
          <w:tab w:val="left" w:pos="3120"/>
        </w:tabs>
        <w:spacing w:line="360" w:lineRule="auto"/>
        <w:ind w:firstLine="397"/>
      </w:pPr>
      <w:r>
        <w:rPr>
          <w:rFonts w:hint="eastAsia"/>
        </w:rPr>
        <w:t>（</w:t>
      </w:r>
      <w:r>
        <w:t>3</w:t>
      </w:r>
      <w:r>
        <w:rPr>
          <w:rFonts w:hint="eastAsia"/>
        </w:rPr>
        <w:t>）对于后张预应力混凝土结构，浇筑混凝土时应特别注意避免震动器碰撞预应力筋的管道、预埋件等。</w:t>
      </w:r>
    </w:p>
    <w:p w14:paraId="6118E3F5">
      <w:pPr>
        <w:tabs>
          <w:tab w:val="left" w:pos="3120"/>
        </w:tabs>
        <w:spacing w:line="360" w:lineRule="auto"/>
        <w:ind w:firstLine="397"/>
      </w:pPr>
      <w:r>
        <w:rPr>
          <w:rFonts w:hint="eastAsia"/>
        </w:rPr>
        <w:t>补充第</w:t>
      </w:r>
      <w:r>
        <w:t>4</w:t>
      </w:r>
      <w:r>
        <w:rPr>
          <w:rFonts w:hint="eastAsia"/>
        </w:rPr>
        <w:t>条：</w:t>
      </w:r>
    </w:p>
    <w:p w14:paraId="46765399">
      <w:pPr>
        <w:tabs>
          <w:tab w:val="left" w:pos="3120"/>
        </w:tabs>
        <w:spacing w:line="360" w:lineRule="auto"/>
        <w:ind w:firstLine="397"/>
      </w:pPr>
      <w:r>
        <w:t>4</w:t>
      </w:r>
      <w:r>
        <w:rPr>
          <w:rFonts w:hint="eastAsia"/>
        </w:rPr>
        <w:t>．支架法浇筑预应力混凝土箱梁</w:t>
      </w:r>
    </w:p>
    <w:p w14:paraId="077F3BA2">
      <w:pPr>
        <w:tabs>
          <w:tab w:val="left" w:pos="3120"/>
        </w:tabs>
        <w:spacing w:line="360" w:lineRule="auto"/>
        <w:ind w:firstLine="397"/>
      </w:pPr>
      <w:r>
        <w:rPr>
          <w:rFonts w:hint="eastAsia"/>
        </w:rPr>
        <w:t>（</w:t>
      </w:r>
      <w:r>
        <w:t>1</w:t>
      </w:r>
      <w:r>
        <w:rPr>
          <w:rFonts w:hint="eastAsia"/>
        </w:rPr>
        <w:t>）承包人应将准备采用的支架法施工方案、工艺流程以及主要施工设备的说明送请监理人批准。</w:t>
      </w:r>
    </w:p>
    <w:p w14:paraId="156C9715">
      <w:pPr>
        <w:tabs>
          <w:tab w:val="left" w:pos="3120"/>
        </w:tabs>
        <w:spacing w:line="360" w:lineRule="auto"/>
        <w:ind w:firstLine="397"/>
      </w:pPr>
      <w:r>
        <w:rPr>
          <w:rFonts w:hint="eastAsia"/>
        </w:rPr>
        <w:t>（</w:t>
      </w:r>
      <w:r>
        <w:t>2</w:t>
      </w:r>
      <w:r>
        <w:rPr>
          <w:rFonts w:hint="eastAsia"/>
        </w:rPr>
        <w:t>）支架基础必须具有足够承载力，不得出现不均匀沉降。其基础类型应根据支架结构型式、地基承载力等条件确定。同时须做好地面的排水处理，设置排水沟。</w:t>
      </w:r>
    </w:p>
    <w:p w14:paraId="565B1A9F">
      <w:pPr>
        <w:tabs>
          <w:tab w:val="left" w:pos="3120"/>
        </w:tabs>
        <w:spacing w:line="360" w:lineRule="auto"/>
        <w:ind w:firstLine="397"/>
      </w:pPr>
      <w:r>
        <w:rPr>
          <w:rFonts w:hint="eastAsia"/>
        </w:rPr>
        <w:t>（</w:t>
      </w:r>
      <w:r>
        <w:t>3</w:t>
      </w:r>
      <w:r>
        <w:rPr>
          <w:rFonts w:hint="eastAsia"/>
        </w:rPr>
        <w:t>）支架</w:t>
      </w:r>
    </w:p>
    <w:p w14:paraId="11C0F47D">
      <w:pPr>
        <w:tabs>
          <w:tab w:val="left" w:pos="3120"/>
        </w:tabs>
        <w:spacing w:line="360" w:lineRule="auto"/>
        <w:ind w:firstLine="397"/>
      </w:pPr>
      <w:r>
        <w:t>a.</w:t>
      </w:r>
      <w:r>
        <w:rPr>
          <w:rFonts w:hint="eastAsia"/>
        </w:rPr>
        <w:t>支架应采用钢制构件，支架构件应符合本规范第</w:t>
      </w:r>
      <w:r>
        <w:t>402</w:t>
      </w:r>
      <w:r>
        <w:rPr>
          <w:rFonts w:hint="eastAsia"/>
        </w:rPr>
        <w:t>节的规定。</w:t>
      </w:r>
    </w:p>
    <w:p w14:paraId="794DF6F8">
      <w:pPr>
        <w:tabs>
          <w:tab w:val="left" w:pos="3120"/>
        </w:tabs>
        <w:spacing w:line="360" w:lineRule="auto"/>
        <w:ind w:firstLine="397"/>
      </w:pPr>
      <w:r>
        <w:t>b.</w:t>
      </w:r>
      <w:r>
        <w:rPr>
          <w:rFonts w:hint="eastAsia"/>
        </w:rPr>
        <w:t>支架的弹性、非弹性变形及基础的允许下沉量应满足施工后梁体设计高程的要求。</w:t>
      </w:r>
    </w:p>
    <w:p w14:paraId="4F36C0FD">
      <w:pPr>
        <w:tabs>
          <w:tab w:val="left" w:pos="3120"/>
        </w:tabs>
        <w:spacing w:line="360" w:lineRule="auto"/>
        <w:ind w:firstLine="397"/>
      </w:pPr>
      <w:r>
        <w:t>c.</w:t>
      </w:r>
      <w:r>
        <w:rPr>
          <w:rFonts w:hint="eastAsia"/>
        </w:rPr>
        <w:t>支架采用整联预压消除非弹性变形，预压量为</w:t>
      </w:r>
      <w:r>
        <w:t>1.1</w:t>
      </w:r>
      <w:r>
        <w:rPr>
          <w:rFonts w:hint="eastAsia"/>
        </w:rPr>
        <w:t>倍梁重（预压宜采用钢制水箱）。承包人须</w:t>
      </w:r>
    </w:p>
    <w:p w14:paraId="5D8BB92C">
      <w:pPr>
        <w:tabs>
          <w:tab w:val="left" w:pos="3120"/>
        </w:tabs>
        <w:spacing w:line="360" w:lineRule="auto"/>
        <w:ind w:firstLine="397"/>
      </w:pPr>
      <w:r>
        <w:rPr>
          <w:rFonts w:hint="eastAsia"/>
        </w:rPr>
        <w:t>制定相应的安全应急预案。</w:t>
      </w:r>
    </w:p>
    <w:p w14:paraId="795B0D2F">
      <w:pPr>
        <w:tabs>
          <w:tab w:val="left" w:pos="3120"/>
        </w:tabs>
        <w:spacing w:line="360" w:lineRule="auto"/>
        <w:ind w:firstLine="397"/>
      </w:pPr>
      <w:r>
        <w:t>d.</w:t>
      </w:r>
      <w:r>
        <w:rPr>
          <w:rFonts w:hint="eastAsia"/>
        </w:rPr>
        <w:t>支架安装完毕后，应对其平面位置、顶部高程、节点联接及纵、横向稳定性进行全面检查，符合要求后，方可进行模板安装。</w:t>
      </w:r>
    </w:p>
    <w:p w14:paraId="7D34FDD2">
      <w:pPr>
        <w:tabs>
          <w:tab w:val="left" w:pos="3120"/>
        </w:tabs>
        <w:spacing w:line="360" w:lineRule="auto"/>
        <w:ind w:firstLine="397"/>
      </w:pPr>
      <w:r>
        <w:rPr>
          <w:rFonts w:hint="eastAsia"/>
        </w:rPr>
        <w:t>（</w:t>
      </w:r>
      <w:r>
        <w:t>4</w:t>
      </w:r>
      <w:r>
        <w:rPr>
          <w:rFonts w:hint="eastAsia"/>
        </w:rPr>
        <w:t>）模板</w:t>
      </w:r>
    </w:p>
    <w:p w14:paraId="66F94D80">
      <w:pPr>
        <w:tabs>
          <w:tab w:val="left" w:pos="3120"/>
        </w:tabs>
        <w:spacing w:line="360" w:lineRule="auto"/>
        <w:ind w:firstLine="397"/>
      </w:pPr>
      <w:r>
        <w:t>a.</w:t>
      </w:r>
      <w:r>
        <w:rPr>
          <w:rFonts w:hint="eastAsia"/>
        </w:rPr>
        <w:t>承包人开始制作模板之前，应按设计要求和本规范第</w:t>
      </w:r>
      <w:r>
        <w:t>402</w:t>
      </w:r>
      <w:r>
        <w:rPr>
          <w:rFonts w:hint="eastAsia"/>
        </w:rPr>
        <w:t>节的规定编制本工程拟采用模板以及模板安装的技术要求，并报请监理人批准。</w:t>
      </w:r>
    </w:p>
    <w:p w14:paraId="713EB232">
      <w:pPr>
        <w:tabs>
          <w:tab w:val="left" w:pos="3120"/>
        </w:tabs>
        <w:spacing w:line="360" w:lineRule="auto"/>
        <w:ind w:firstLine="397"/>
      </w:pPr>
      <w:r>
        <w:t>b.</w:t>
      </w:r>
      <w:r>
        <w:rPr>
          <w:rFonts w:hint="eastAsia"/>
        </w:rPr>
        <w:t>结构表面外露的模板挠度不应超过模板构件跨度的</w:t>
      </w:r>
      <w:r>
        <w:t>1/400</w:t>
      </w:r>
      <w:r>
        <w:rPr>
          <w:rFonts w:hint="eastAsia"/>
        </w:rPr>
        <w:t>；结构表面隐蔽的模板挠度不应大于模板构件跨度的</w:t>
      </w:r>
      <w:r>
        <w:t>1/250</w:t>
      </w:r>
      <w:r>
        <w:rPr>
          <w:rFonts w:hint="eastAsia"/>
        </w:rPr>
        <w:t>。钢模板的面板变形不应大于</w:t>
      </w:r>
      <w:r>
        <w:t>1.5mm</w:t>
      </w:r>
      <w:r>
        <w:rPr>
          <w:rFonts w:hint="eastAsia"/>
        </w:rPr>
        <w:t>。</w:t>
      </w:r>
    </w:p>
    <w:p w14:paraId="350AEA3F">
      <w:pPr>
        <w:tabs>
          <w:tab w:val="left" w:pos="3120"/>
        </w:tabs>
        <w:spacing w:line="360" w:lineRule="auto"/>
        <w:ind w:firstLine="397"/>
      </w:pPr>
      <w:r>
        <w:t>c.</w:t>
      </w:r>
      <w:r>
        <w:rPr>
          <w:rFonts w:hint="eastAsia"/>
        </w:rPr>
        <w:t>模板的全长及跨度应考虑反拱度及预留压缩量。</w:t>
      </w:r>
    </w:p>
    <w:p w14:paraId="766D62E8">
      <w:pPr>
        <w:tabs>
          <w:tab w:val="left" w:pos="3120"/>
        </w:tabs>
        <w:spacing w:line="360" w:lineRule="auto"/>
        <w:ind w:firstLine="397"/>
      </w:pPr>
      <w:r>
        <w:t>d.</w:t>
      </w:r>
      <w:r>
        <w:rPr>
          <w:rFonts w:hint="eastAsia"/>
        </w:rPr>
        <w:t>钢模板在设计制造时，应有足够的强度、刚度及稳定性，确保梁体各部位结构尺寸正确及预埋件的位置准确。</w:t>
      </w:r>
    </w:p>
    <w:p w14:paraId="61307310">
      <w:pPr>
        <w:tabs>
          <w:tab w:val="left" w:pos="3120"/>
        </w:tabs>
        <w:spacing w:line="360" w:lineRule="auto"/>
        <w:ind w:firstLine="397"/>
      </w:pPr>
      <w:r>
        <w:t>e.</w:t>
      </w:r>
      <w:r>
        <w:rPr>
          <w:rFonts w:hint="eastAsia"/>
        </w:rPr>
        <w:t>附着式振动器应交错布置，安设牢固。振动力应先传向模板骨架，再由骨架传向面板。</w:t>
      </w:r>
    </w:p>
    <w:p w14:paraId="401A7BB8">
      <w:pPr>
        <w:tabs>
          <w:tab w:val="left" w:pos="3120"/>
        </w:tabs>
        <w:spacing w:line="360" w:lineRule="auto"/>
        <w:ind w:firstLine="397"/>
      </w:pPr>
      <w:r>
        <w:t>f.</w:t>
      </w:r>
      <w:r>
        <w:rPr>
          <w:rFonts w:hint="eastAsia"/>
        </w:rPr>
        <w:t>涂在模板上的脱模剂，不得使混凝土变色。</w:t>
      </w:r>
    </w:p>
    <w:p w14:paraId="71AFEAD9">
      <w:pPr>
        <w:tabs>
          <w:tab w:val="left" w:pos="3120"/>
        </w:tabs>
        <w:spacing w:line="360" w:lineRule="auto"/>
        <w:ind w:firstLine="397"/>
      </w:pPr>
      <w:r>
        <w:rPr>
          <w:rFonts w:hint="eastAsia"/>
        </w:rPr>
        <w:t>（</w:t>
      </w:r>
      <w:r>
        <w:t>5</w:t>
      </w:r>
      <w:r>
        <w:rPr>
          <w:rFonts w:hint="eastAsia"/>
        </w:rPr>
        <w:t>）支架法制梁的支座安装应符合本规范</w:t>
      </w:r>
      <w:r>
        <w:t>416</w:t>
      </w:r>
      <w:r>
        <w:rPr>
          <w:rFonts w:hint="eastAsia"/>
        </w:rPr>
        <w:t>节的规定，支架法制梁的活动支座安装，除根据温度变化和混凝土收缩徐变调整上下座板的相对位置外，还应计入混凝土梁在预应力作用下的梁长压缩量。</w:t>
      </w:r>
    </w:p>
    <w:p w14:paraId="549AB056">
      <w:pPr>
        <w:tabs>
          <w:tab w:val="left" w:pos="3120"/>
        </w:tabs>
        <w:spacing w:line="360" w:lineRule="auto"/>
        <w:ind w:firstLine="397"/>
      </w:pPr>
      <w:r>
        <w:rPr>
          <w:rFonts w:hint="eastAsia"/>
        </w:rPr>
        <w:t>（</w:t>
      </w:r>
      <w:r>
        <w:t>6</w:t>
      </w:r>
      <w:r>
        <w:rPr>
          <w:rFonts w:hint="eastAsia"/>
        </w:rPr>
        <w:t>）梁体混凝土宜采用泵送混凝土连续浇筑，并应在初凝时间内一次浇筑完成。</w:t>
      </w:r>
    </w:p>
    <w:p w14:paraId="01DFFDEF">
      <w:pPr>
        <w:tabs>
          <w:tab w:val="left" w:pos="3120"/>
        </w:tabs>
        <w:spacing w:line="360" w:lineRule="auto"/>
        <w:ind w:firstLine="397"/>
      </w:pPr>
      <w:r>
        <w:rPr>
          <w:rFonts w:hint="eastAsia"/>
        </w:rPr>
        <w:t>（</w:t>
      </w:r>
      <w:r>
        <w:t>7</w:t>
      </w:r>
      <w:r>
        <w:rPr>
          <w:rFonts w:hint="eastAsia"/>
        </w:rPr>
        <w:t>）拆装</w:t>
      </w:r>
    </w:p>
    <w:p w14:paraId="2EBB7231">
      <w:pPr>
        <w:tabs>
          <w:tab w:val="left" w:pos="3120"/>
        </w:tabs>
        <w:spacing w:line="360" w:lineRule="auto"/>
        <w:ind w:firstLine="397"/>
      </w:pPr>
      <w:r>
        <w:t>a.</w:t>
      </w:r>
      <w:r>
        <w:rPr>
          <w:rFonts w:hint="eastAsia"/>
        </w:rPr>
        <w:t>非承重侧模板一般应在混凝土抗压强度达到</w:t>
      </w:r>
      <w:r>
        <w:t>2.5MPa</w:t>
      </w:r>
      <w:r>
        <w:rPr>
          <w:rFonts w:hint="eastAsia"/>
        </w:rPr>
        <w:t>时方可拆除，拆模时应保证其表面及棱角不致因拆模而受损。</w:t>
      </w:r>
    </w:p>
    <w:p w14:paraId="30A2BF4A">
      <w:pPr>
        <w:tabs>
          <w:tab w:val="left" w:pos="3120"/>
        </w:tabs>
        <w:spacing w:line="360" w:lineRule="auto"/>
        <w:ind w:firstLine="397"/>
      </w:pPr>
      <w:r>
        <w:t>b.</w:t>
      </w:r>
      <w:r>
        <w:rPr>
          <w:rFonts w:hint="eastAsia"/>
        </w:rPr>
        <w:t>除图纸另有规定者外，与梁顶悬臂板的底模连成一体的侧模和箱梁顶板的底模，应在混凝土强度达到设计强度的</w:t>
      </w:r>
      <w:r>
        <w:t>80%</w:t>
      </w:r>
      <w:r>
        <w:rPr>
          <w:rFonts w:hint="eastAsia"/>
        </w:rPr>
        <w:t>时方可拆除。</w:t>
      </w:r>
    </w:p>
    <w:p w14:paraId="257FA9A0">
      <w:pPr>
        <w:tabs>
          <w:tab w:val="left" w:pos="3120"/>
        </w:tabs>
        <w:spacing w:line="360" w:lineRule="auto"/>
        <w:ind w:firstLine="397"/>
      </w:pPr>
      <w:r>
        <w:t>c.</w:t>
      </w:r>
      <w:r>
        <w:rPr>
          <w:rFonts w:hint="eastAsia"/>
        </w:rPr>
        <w:t>预应力张拉前拆除梁的端模、侧模和内模。拆模时混凝土表层温度和环境温度之差不得大于15℃。</w:t>
      </w:r>
    </w:p>
    <w:p w14:paraId="1994F1BD">
      <w:pPr>
        <w:tabs>
          <w:tab w:val="left" w:pos="3120"/>
        </w:tabs>
        <w:spacing w:line="360" w:lineRule="auto"/>
        <w:ind w:firstLine="397"/>
      </w:pPr>
      <w:r>
        <w:rPr>
          <w:rFonts w:hint="eastAsia"/>
        </w:rPr>
        <w:t>（</w:t>
      </w:r>
      <w:r>
        <w:t>8</w:t>
      </w:r>
      <w:r>
        <w:rPr>
          <w:rFonts w:hint="eastAsia"/>
        </w:rPr>
        <w:t>）预应力张拉</w:t>
      </w:r>
    </w:p>
    <w:p w14:paraId="053AC173">
      <w:pPr>
        <w:tabs>
          <w:tab w:val="left" w:pos="3120"/>
        </w:tabs>
        <w:spacing w:line="360" w:lineRule="auto"/>
        <w:ind w:firstLine="397"/>
      </w:pPr>
      <w:r>
        <w:t>a.</w:t>
      </w:r>
      <w:r>
        <w:rPr>
          <w:rFonts w:hint="eastAsia"/>
        </w:rPr>
        <w:t>如为原位制梁的支架法施工，预应力张拉后的梁体重量应落在桥墩（台）的正式支座上；如为旁位或高位制梁的支架法施工，则支点处的支架必须有足够的承载能力。</w:t>
      </w:r>
    </w:p>
    <w:p w14:paraId="6DC06780">
      <w:pPr>
        <w:tabs>
          <w:tab w:val="left" w:pos="3120"/>
        </w:tabs>
        <w:spacing w:line="360" w:lineRule="auto"/>
        <w:ind w:firstLine="397"/>
      </w:pPr>
      <w:r>
        <w:t>b.</w:t>
      </w:r>
      <w:r>
        <w:rPr>
          <w:rFonts w:hint="eastAsia"/>
        </w:rPr>
        <w:t>预应力张拉前，承包人应向监理人提交详细说明、图纸、张拉应力和延伸量的静力计算，张拉设备的有关证件和校验证明，请求审核。除非另有书面允许，张拉工作应在监理人在场时进行。</w:t>
      </w:r>
    </w:p>
    <w:p w14:paraId="17AFADC1">
      <w:pPr>
        <w:tabs>
          <w:tab w:val="left" w:pos="3120"/>
        </w:tabs>
        <w:spacing w:line="360" w:lineRule="auto"/>
        <w:ind w:firstLine="397"/>
      </w:pPr>
      <w:r>
        <w:t>c.</w:t>
      </w:r>
      <w:r>
        <w:rPr>
          <w:rFonts w:hint="eastAsia"/>
        </w:rPr>
        <w:t>对预应力张拉设备的要求、张拉作业和张拉程序应符合本规范第</w:t>
      </w:r>
      <w:r>
        <w:t>411</w:t>
      </w:r>
      <w:r>
        <w:rPr>
          <w:rFonts w:hint="eastAsia"/>
        </w:rPr>
        <w:t>节的规定。</w:t>
      </w:r>
    </w:p>
    <w:p w14:paraId="710186F3">
      <w:pPr>
        <w:tabs>
          <w:tab w:val="left" w:pos="3120"/>
        </w:tabs>
        <w:spacing w:line="360" w:lineRule="auto"/>
        <w:ind w:firstLine="397"/>
      </w:pPr>
      <w:r>
        <w:t>d.</w:t>
      </w:r>
      <w:r>
        <w:rPr>
          <w:rFonts w:hint="eastAsia"/>
        </w:rPr>
        <w:t>预应力筋可分批张拉，终张拉时混凝土的强度和弹性模量都必须达到设计值，混凝土的龄期也必须满足设计要求。</w:t>
      </w:r>
    </w:p>
    <w:p w14:paraId="0C4FF417">
      <w:pPr>
        <w:tabs>
          <w:tab w:val="left" w:pos="3120"/>
        </w:tabs>
        <w:spacing w:line="360" w:lineRule="auto"/>
        <w:ind w:firstLine="397"/>
      </w:pPr>
      <w:r>
        <w:rPr>
          <w:rFonts w:hint="eastAsia"/>
        </w:rPr>
        <w:t>（</w:t>
      </w:r>
      <w:r>
        <w:t>9</w:t>
      </w:r>
      <w:r>
        <w:rPr>
          <w:rFonts w:hint="eastAsia"/>
        </w:rPr>
        <w:t>）支架卸载</w:t>
      </w:r>
    </w:p>
    <w:p w14:paraId="57427088">
      <w:pPr>
        <w:tabs>
          <w:tab w:val="left" w:pos="3120"/>
        </w:tabs>
        <w:spacing w:line="360" w:lineRule="auto"/>
        <w:ind w:firstLine="397"/>
      </w:pPr>
      <w:r>
        <w:t>a.</w:t>
      </w:r>
      <w:r>
        <w:rPr>
          <w:rFonts w:hint="eastAsia"/>
        </w:rPr>
        <w:t>支架须待混凝土达到设计强度、预施应力完毕后方可卸载。卸载时应对称、均匀，有序，在纵向宜从跨中向支座依次循环卸落，在横向应同时一起卸落。</w:t>
      </w:r>
    </w:p>
    <w:p w14:paraId="35F099A8">
      <w:pPr>
        <w:tabs>
          <w:tab w:val="left" w:pos="3120"/>
        </w:tabs>
        <w:spacing w:line="360" w:lineRule="auto"/>
        <w:ind w:firstLine="397"/>
      </w:pPr>
      <w:r>
        <w:t>b.</w:t>
      </w:r>
      <w:r>
        <w:rPr>
          <w:rFonts w:hint="eastAsia"/>
        </w:rPr>
        <w:t>支架卸载下落空出一定空间后，方可拆除底模板。拆除时均应采取措施防止混凝土受到损伤。底模和支架的拆除过程及拆除后的检查结果，应作出记录。</w:t>
      </w:r>
    </w:p>
    <w:p w14:paraId="6B9003A0">
      <w:pPr>
        <w:tabs>
          <w:tab w:val="left" w:pos="3120"/>
        </w:tabs>
        <w:spacing w:line="360" w:lineRule="auto"/>
        <w:ind w:firstLine="397"/>
        <w:rPr>
          <w:rFonts w:eastAsia="黑体"/>
          <w:sz w:val="28"/>
          <w:szCs w:val="28"/>
        </w:rPr>
      </w:pPr>
      <w:r>
        <w:rPr>
          <w:rFonts w:eastAsia="黑体"/>
          <w:sz w:val="28"/>
          <w:szCs w:val="28"/>
        </w:rPr>
        <w:t xml:space="preserve">411.08 </w:t>
      </w:r>
      <w:r>
        <w:rPr>
          <w:rFonts w:hint="eastAsia" w:eastAsia="黑体"/>
          <w:sz w:val="28"/>
          <w:szCs w:val="28"/>
        </w:rPr>
        <w:t>后张法预应力</w:t>
      </w:r>
    </w:p>
    <w:p w14:paraId="372FB1CC">
      <w:pPr>
        <w:tabs>
          <w:tab w:val="left" w:pos="3120"/>
        </w:tabs>
        <w:spacing w:line="360" w:lineRule="auto"/>
        <w:ind w:firstLine="397"/>
      </w:pPr>
      <w:r>
        <w:t>1</w:t>
      </w:r>
      <w:r>
        <w:rPr>
          <w:rFonts w:hint="eastAsia"/>
        </w:rPr>
        <w:t>．一般要求</w:t>
      </w:r>
    </w:p>
    <w:p w14:paraId="5424D2CA">
      <w:pPr>
        <w:tabs>
          <w:tab w:val="left" w:pos="3120"/>
        </w:tabs>
        <w:spacing w:line="360" w:lineRule="auto"/>
        <w:ind w:firstLine="397"/>
      </w:pPr>
      <w:r>
        <w:rPr>
          <w:rFonts w:hint="eastAsia"/>
        </w:rPr>
        <w:t>第（</w:t>
      </w:r>
      <w:r>
        <w:t>1</w:t>
      </w:r>
      <w:r>
        <w:rPr>
          <w:rFonts w:hint="eastAsia"/>
        </w:rPr>
        <w:t>）款修改为：</w:t>
      </w:r>
    </w:p>
    <w:p w14:paraId="2D595BD1">
      <w:pPr>
        <w:tabs>
          <w:tab w:val="left" w:pos="3120"/>
        </w:tabs>
        <w:spacing w:line="360" w:lineRule="auto"/>
        <w:ind w:firstLine="397"/>
      </w:pPr>
      <w:r>
        <w:rPr>
          <w:rFonts w:hint="eastAsia"/>
        </w:rPr>
        <w:t>（</w:t>
      </w:r>
      <w:r>
        <w:t>1</w:t>
      </w:r>
      <w:r>
        <w:rPr>
          <w:rFonts w:hint="eastAsia"/>
        </w:rPr>
        <w:t>）承包人在张拉开始前，应向监理人提交详细说明、图纸、张拉应力和延伸量的静力计算，以及千斤顶与压力表配套校验确定的张拉力与压力表之间的关系曲线，请求审核。</w:t>
      </w:r>
    </w:p>
    <w:p w14:paraId="29014BC8">
      <w:pPr>
        <w:tabs>
          <w:tab w:val="left" w:pos="3120"/>
        </w:tabs>
        <w:spacing w:line="360" w:lineRule="auto"/>
        <w:ind w:firstLine="397"/>
      </w:pPr>
      <w:r>
        <w:t>2</w:t>
      </w:r>
      <w:r>
        <w:rPr>
          <w:rFonts w:hint="eastAsia"/>
        </w:rPr>
        <w:t>．施工要求</w:t>
      </w:r>
    </w:p>
    <w:p w14:paraId="48D486C3">
      <w:pPr>
        <w:tabs>
          <w:tab w:val="left" w:pos="3120"/>
        </w:tabs>
        <w:spacing w:line="360" w:lineRule="auto"/>
        <w:ind w:firstLine="397"/>
      </w:pPr>
      <w:r>
        <w:rPr>
          <w:rFonts w:hint="eastAsia"/>
        </w:rPr>
        <w:t>第（</w:t>
      </w:r>
      <w:r>
        <w:t>5</w:t>
      </w:r>
      <w:r>
        <w:rPr>
          <w:rFonts w:hint="eastAsia"/>
        </w:rPr>
        <w:t>）、（</w:t>
      </w:r>
      <w:r>
        <w:t>6</w:t>
      </w:r>
      <w:r>
        <w:rPr>
          <w:rFonts w:hint="eastAsia"/>
        </w:rPr>
        <w:t>）、（</w:t>
      </w:r>
      <w:r>
        <w:t>8</w:t>
      </w:r>
      <w:r>
        <w:rPr>
          <w:rFonts w:hint="eastAsia"/>
        </w:rPr>
        <w:t>）款修改为：</w:t>
      </w:r>
    </w:p>
    <w:p w14:paraId="58693C24">
      <w:pPr>
        <w:tabs>
          <w:tab w:val="left" w:pos="3120"/>
        </w:tabs>
        <w:spacing w:line="360" w:lineRule="auto"/>
        <w:ind w:firstLine="397"/>
      </w:pPr>
      <w:r>
        <w:rPr>
          <w:rFonts w:hint="eastAsia"/>
        </w:rPr>
        <w:t>（</w:t>
      </w:r>
      <w:r>
        <w:t>5</w:t>
      </w:r>
      <w:r>
        <w:rPr>
          <w:rFonts w:hint="eastAsia"/>
        </w:rPr>
        <w:t>）预应力张拉应采用智能张拉工艺。张拉顺序应符合图纸规定，当图纸无规定时，一般应按先张拉长束，后张拉短束的原则，采取分批，分阶段对称、同步、均衡张拉。</w:t>
      </w:r>
    </w:p>
    <w:p w14:paraId="21A0F7A3">
      <w:pPr>
        <w:tabs>
          <w:tab w:val="left" w:pos="3120"/>
        </w:tabs>
        <w:spacing w:line="360" w:lineRule="auto"/>
        <w:ind w:firstLine="397"/>
      </w:pPr>
      <w:r>
        <w:rPr>
          <w:rFonts w:hint="eastAsia"/>
        </w:rPr>
        <w:t>（</w:t>
      </w:r>
      <w:r>
        <w:t>6</w:t>
      </w:r>
      <w:r>
        <w:rPr>
          <w:rFonts w:hint="eastAsia"/>
        </w:rPr>
        <w:t>）预应力张拉应从两端同时进行，张拉至控制应力时可在一端先锚固，再在另一端补足预应力值进行锚固，除非监理人同意另外的方式。</w:t>
      </w:r>
    </w:p>
    <w:p w14:paraId="653F773A">
      <w:pPr>
        <w:tabs>
          <w:tab w:val="left" w:pos="3120"/>
        </w:tabs>
        <w:spacing w:line="360" w:lineRule="auto"/>
        <w:ind w:firstLine="397"/>
      </w:pPr>
      <w:r>
        <w:rPr>
          <w:rFonts w:hint="eastAsia"/>
        </w:rPr>
        <w:t>（</w:t>
      </w:r>
      <w:r>
        <w:t>8</w:t>
      </w:r>
      <w:r>
        <w:rPr>
          <w:rFonts w:hint="eastAsia"/>
        </w:rPr>
        <w:t>）图纸所示的控制张拉力是指锚固前锚具内侧（即锚下）的拉力。在确定千斤顶相应的张拉力时，应考虑增加因锚口摩阻而损失的拉力。锚圈口摩阻损失值应根据采用的预应力系统参照《公路桥涵施工技术规范》（</w:t>
      </w:r>
      <w:r>
        <w:t>JTG/T 3650-2020</w:t>
      </w:r>
      <w:r>
        <w:rPr>
          <w:rFonts w:hint="eastAsia"/>
        </w:rPr>
        <w:t>）附录</w:t>
      </w:r>
      <w:r>
        <w:t>G</w:t>
      </w:r>
      <w:r>
        <w:rPr>
          <w:rFonts w:hint="eastAsia"/>
        </w:rPr>
        <w:t>由现场测验确定，除非监理人同意采用按厂家提供的锚圈口摩阻损失值：一般对钢绞线为千斤顶控制张拉力的</w:t>
      </w:r>
      <w:r>
        <w:t>3</w:t>
      </w:r>
      <w:r>
        <w:rPr>
          <w:rFonts w:hint="eastAsia"/>
        </w:rPr>
        <w:t>％；对钢丝为</w:t>
      </w:r>
      <w:r>
        <w:t>5</w:t>
      </w:r>
      <w:r>
        <w:rPr>
          <w:rFonts w:hint="eastAsia"/>
        </w:rPr>
        <w:t>％的千斤顶控制张拉力。</w:t>
      </w:r>
    </w:p>
    <w:p w14:paraId="6DE76624">
      <w:pPr>
        <w:tabs>
          <w:tab w:val="left" w:pos="3120"/>
        </w:tabs>
        <w:spacing w:line="360" w:lineRule="auto"/>
        <w:ind w:firstLine="397"/>
      </w:pPr>
      <w:r>
        <w:t>3</w:t>
      </w:r>
      <w:r>
        <w:rPr>
          <w:rFonts w:hint="eastAsia"/>
        </w:rPr>
        <w:t>．张拉步骤</w:t>
      </w:r>
    </w:p>
    <w:p w14:paraId="3C86E45C">
      <w:pPr>
        <w:tabs>
          <w:tab w:val="left" w:pos="3120"/>
        </w:tabs>
        <w:spacing w:line="360" w:lineRule="auto"/>
        <w:ind w:firstLine="397"/>
      </w:pPr>
      <w:r>
        <w:rPr>
          <w:rFonts w:hint="eastAsia"/>
        </w:rPr>
        <w:t>第（</w:t>
      </w:r>
      <w:r>
        <w:t>1</w:t>
      </w:r>
      <w:r>
        <w:rPr>
          <w:rFonts w:hint="eastAsia"/>
        </w:rPr>
        <w:t>）款修改为：</w:t>
      </w:r>
    </w:p>
    <w:p w14:paraId="749AE657">
      <w:pPr>
        <w:tabs>
          <w:tab w:val="left" w:pos="3120"/>
        </w:tabs>
        <w:spacing w:line="360" w:lineRule="auto"/>
        <w:ind w:firstLine="397"/>
      </w:pPr>
      <w:r>
        <w:rPr>
          <w:rFonts w:hint="eastAsia"/>
        </w:rPr>
        <w:t>（</w:t>
      </w:r>
      <w:r>
        <w:t>1</w:t>
      </w:r>
      <w:r>
        <w:rPr>
          <w:rFonts w:hint="eastAsia"/>
        </w:rPr>
        <w:t>）除图纸有规定或监理人另有指示外，张拉程序等按《公路桥涵施工技术规范》表</w:t>
      </w:r>
      <w:r>
        <w:t>7.8.5-1</w:t>
      </w:r>
      <w:r>
        <w:rPr>
          <w:rFonts w:hint="eastAsia"/>
        </w:rPr>
        <w:t>进行。</w:t>
      </w:r>
    </w:p>
    <w:p w14:paraId="39B0A44C">
      <w:pPr>
        <w:tabs>
          <w:tab w:val="left" w:pos="3120"/>
        </w:tabs>
        <w:spacing w:line="360" w:lineRule="auto"/>
        <w:ind w:firstLine="397"/>
      </w:pPr>
      <w:r>
        <w:rPr>
          <w:rFonts w:hint="eastAsia"/>
        </w:rPr>
        <w:t>第（</w:t>
      </w:r>
      <w:r>
        <w:t>3</w:t>
      </w:r>
      <w:r>
        <w:rPr>
          <w:rFonts w:hint="eastAsia"/>
        </w:rPr>
        <w:t>）款</w:t>
      </w:r>
      <w:r>
        <w:t>“…</w:t>
      </w:r>
      <w:r>
        <w:rPr>
          <w:rFonts w:hint="eastAsia"/>
        </w:rPr>
        <w:t>如果大于上述允许值，应重新张拉，或更换锚具后重新张拉。</w:t>
      </w:r>
      <w:r>
        <w:t>”</w:t>
      </w:r>
      <w:r>
        <w:rPr>
          <w:rFonts w:hint="eastAsia"/>
        </w:rPr>
        <w:t>修改为：</w:t>
      </w:r>
      <w:r>
        <w:t>“……</w:t>
      </w:r>
      <w:r>
        <w:rPr>
          <w:rFonts w:hint="eastAsia"/>
        </w:rPr>
        <w:t>如果大于上述允许值，应同时更换锚具与预应力筋束后重新张拉，除非监理人另有指示</w:t>
      </w:r>
      <w:r>
        <w:t>”</w:t>
      </w:r>
      <w:r>
        <w:rPr>
          <w:rFonts w:hint="eastAsia"/>
        </w:rPr>
        <w:t>。</w:t>
      </w:r>
    </w:p>
    <w:p w14:paraId="6F70B260">
      <w:pPr>
        <w:tabs>
          <w:tab w:val="left" w:pos="3120"/>
        </w:tabs>
        <w:spacing w:line="360" w:lineRule="auto"/>
        <w:ind w:firstLine="397"/>
      </w:pPr>
      <w:r>
        <w:rPr>
          <w:rFonts w:hint="eastAsia"/>
        </w:rPr>
        <w:t>第（</w:t>
      </w:r>
      <w:r>
        <w:t>6</w:t>
      </w:r>
      <w:r>
        <w:rPr>
          <w:rFonts w:hint="eastAsia"/>
        </w:rPr>
        <w:t>）款</w:t>
      </w:r>
      <w:r>
        <w:t>“…</w:t>
      </w:r>
      <w:r>
        <w:rPr>
          <w:rFonts w:hint="eastAsia"/>
        </w:rPr>
        <w:t>与计算延伸量</w:t>
      </w:r>
      <w:r>
        <w:t>…“</w:t>
      </w:r>
      <w:r>
        <w:rPr>
          <w:rFonts w:hint="eastAsia"/>
        </w:rPr>
        <w:t>修改为：</w:t>
      </w:r>
      <w:r>
        <w:t>“…</w:t>
      </w:r>
      <w:r>
        <w:rPr>
          <w:rFonts w:hint="eastAsia"/>
        </w:rPr>
        <w:t>与计算延伸量（为两工作锚具间的伸长值）</w:t>
      </w:r>
      <w:r>
        <w:t>…”</w:t>
      </w:r>
      <w:r>
        <w:rPr>
          <w:rFonts w:hint="eastAsia"/>
        </w:rPr>
        <w:t>。</w:t>
      </w:r>
    </w:p>
    <w:p w14:paraId="3E8ECAF0">
      <w:pPr>
        <w:tabs>
          <w:tab w:val="left" w:pos="3120"/>
        </w:tabs>
        <w:spacing w:line="360" w:lineRule="auto"/>
        <w:ind w:firstLine="397"/>
      </w:pPr>
      <w:r>
        <w:t>4</w:t>
      </w:r>
      <w:r>
        <w:rPr>
          <w:rFonts w:hint="eastAsia"/>
        </w:rPr>
        <w:t>．记录及报告</w:t>
      </w:r>
    </w:p>
    <w:p w14:paraId="2538F9F0">
      <w:pPr>
        <w:tabs>
          <w:tab w:val="left" w:pos="3120"/>
        </w:tabs>
        <w:spacing w:line="360" w:lineRule="auto"/>
        <w:ind w:firstLine="397"/>
      </w:pPr>
      <w:r>
        <w:rPr>
          <w:rFonts w:hint="eastAsia"/>
        </w:rPr>
        <w:t>删除条款第一句中</w:t>
      </w:r>
      <w:r>
        <w:t>“</w:t>
      </w:r>
      <w:r>
        <w:rPr>
          <w:rFonts w:hint="eastAsia"/>
        </w:rPr>
        <w:t>如监理人要求</w:t>
      </w:r>
      <w:r>
        <w:t>”</w:t>
      </w:r>
      <w:r>
        <w:rPr>
          <w:rFonts w:hint="eastAsia"/>
        </w:rPr>
        <w:t>。</w:t>
      </w:r>
    </w:p>
    <w:p w14:paraId="40F6CD3D">
      <w:pPr>
        <w:tabs>
          <w:tab w:val="left" w:pos="3120"/>
        </w:tabs>
        <w:spacing w:line="360" w:lineRule="auto"/>
        <w:ind w:firstLine="397"/>
        <w:rPr>
          <w:rFonts w:eastAsia="黑体"/>
          <w:sz w:val="28"/>
          <w:szCs w:val="28"/>
        </w:rPr>
      </w:pPr>
      <w:r>
        <w:rPr>
          <w:rFonts w:eastAsia="黑体"/>
          <w:sz w:val="28"/>
          <w:szCs w:val="28"/>
        </w:rPr>
        <w:t xml:space="preserve">411.10  </w:t>
      </w:r>
      <w:r>
        <w:rPr>
          <w:rFonts w:hint="eastAsia" w:eastAsia="黑体"/>
          <w:sz w:val="28"/>
          <w:szCs w:val="28"/>
        </w:rPr>
        <w:t>孔道压浆</w:t>
      </w:r>
    </w:p>
    <w:p w14:paraId="5BF749BE">
      <w:pPr>
        <w:spacing w:line="380" w:lineRule="exact"/>
        <w:ind w:firstLine="420" w:firstLineChars="200"/>
      </w:pPr>
      <w:r>
        <w:rPr>
          <w:rFonts w:hint="eastAsia"/>
        </w:rPr>
        <w:t>删除本小节原内容，修改为：</w:t>
      </w:r>
    </w:p>
    <w:p w14:paraId="7A4BA623">
      <w:pPr>
        <w:spacing w:line="380" w:lineRule="exact"/>
        <w:ind w:firstLine="420" w:firstLineChars="200"/>
      </w:pPr>
      <w:r>
        <w:t>1</w:t>
      </w:r>
      <w:r>
        <w:rPr>
          <w:rFonts w:hint="eastAsia"/>
        </w:rPr>
        <w:t>．一般要求</w:t>
      </w:r>
    </w:p>
    <w:p w14:paraId="03BD9647">
      <w:pPr>
        <w:tabs>
          <w:tab w:val="left" w:pos="3120"/>
        </w:tabs>
        <w:spacing w:line="360" w:lineRule="auto"/>
        <w:ind w:firstLine="397"/>
      </w:pPr>
      <w:r>
        <w:rPr>
          <w:rFonts w:hint="eastAsia"/>
        </w:rPr>
        <w:t>（</w:t>
      </w:r>
      <w:r>
        <w:t>1</w:t>
      </w:r>
      <w:r>
        <w:rPr>
          <w:rFonts w:hint="eastAsia"/>
        </w:rPr>
        <w:t>）承包人须采用真空辅助灌浆工艺进行孔道灌浆，真空辅助灌浆应满足《公路桥涵施工技术规范》（</w:t>
      </w:r>
      <w:r>
        <w:t>JTG/T 3650-2020</w:t>
      </w:r>
      <w:r>
        <w:rPr>
          <w:rFonts w:hint="eastAsia"/>
        </w:rPr>
        <w:t>）及《浙江省公路桥梁预应力孔道压浆技术指南》相关规定要求并从严控制。预应力孔道压浆应采用专用压浆料或专用压浆剂配制的浆液，所用原材料应符合《公路桥涵施工技术规范》（</w:t>
      </w:r>
      <w:r>
        <w:t>JTG/T 3650-2020</w:t>
      </w:r>
      <w:r>
        <w:rPr>
          <w:rFonts w:hint="eastAsia"/>
        </w:rPr>
        <w:t>）第</w:t>
      </w:r>
      <w:r>
        <w:t>7.9.2</w:t>
      </w:r>
      <w:r>
        <w:rPr>
          <w:rFonts w:hint="eastAsia"/>
        </w:rPr>
        <w:t>条的相关规定，压浆材料应进行进场检验。浆体材料应掺入真空灌浆添加剂和阻锈剂（根据抗氯离子渗透要求），掺量和使用方法需进行试配和适应性试验，检验方法参照交通行业标准《钢筋混凝土阻锈剂》（</w:t>
      </w:r>
      <w:r>
        <w:t>JT/T537</w:t>
      </w:r>
      <w:r>
        <w:rPr>
          <w:rFonts w:hint="eastAsia"/>
        </w:rPr>
        <w:t>）和治金行业标准《钢筋阻锈剂使用技术规程》（</w:t>
      </w:r>
      <w:r>
        <w:t>YB/T9231</w:t>
      </w:r>
      <w:r>
        <w:rPr>
          <w:rFonts w:hint="eastAsia"/>
        </w:rPr>
        <w:t>），均质性检验按《混凝土外加剂均质性试验方法》（</w:t>
      </w:r>
      <w:r>
        <w:t>GB/T8077</w:t>
      </w:r>
      <w:r>
        <w:rPr>
          <w:rFonts w:hint="eastAsia"/>
        </w:rPr>
        <w:t>）进行。外掺剂中不允许含有易引起钢绞线氢脆反应的有害成分。浆液性能指标须达到《公路桥涵施工技术规范》（</w:t>
      </w:r>
      <w:r>
        <w:t>JTG/T 3650-2020</w:t>
      </w:r>
      <w:r>
        <w:rPr>
          <w:rFonts w:hint="eastAsia"/>
        </w:rPr>
        <w:t>）第</w:t>
      </w:r>
      <w:r>
        <w:t>7.9.3</w:t>
      </w:r>
      <w:r>
        <w:rPr>
          <w:rFonts w:hint="eastAsia"/>
        </w:rPr>
        <w:t>条的相关规定要求。</w:t>
      </w:r>
    </w:p>
    <w:p w14:paraId="6F2DFF04">
      <w:pPr>
        <w:tabs>
          <w:tab w:val="left" w:pos="3120"/>
        </w:tabs>
        <w:spacing w:line="360" w:lineRule="auto"/>
        <w:ind w:firstLine="397"/>
      </w:pPr>
      <w:r>
        <w:rPr>
          <w:rFonts w:hint="eastAsia"/>
        </w:rPr>
        <w:t>（</w:t>
      </w:r>
      <w:r>
        <w:t>2</w:t>
      </w:r>
      <w:r>
        <w:rPr>
          <w:rFonts w:hint="eastAsia"/>
        </w:rPr>
        <w:t>）为使水泥浆达到所需的浆水特性，可在浆体中加入化学添加剂，添加剂应具有减水、缓凝、补偿收缩和增加浆体和易性等作用，但不得含有对预应力筋和水泥有损害的物质，尤其不得含有氯化物和硝酸钙等腐蚀性介质。另外，添加剂中所含的膨胀成分严禁含有铝粉。</w:t>
      </w:r>
    </w:p>
    <w:p w14:paraId="4ECA7887">
      <w:pPr>
        <w:tabs>
          <w:tab w:val="left" w:pos="3120"/>
        </w:tabs>
        <w:spacing w:line="360" w:lineRule="auto"/>
        <w:ind w:firstLine="397"/>
      </w:pPr>
      <w:r>
        <w:rPr>
          <w:rFonts w:hint="eastAsia"/>
        </w:rPr>
        <w:t>（</w:t>
      </w:r>
      <w:r>
        <w:t>3</w:t>
      </w:r>
      <w:r>
        <w:rPr>
          <w:rFonts w:hint="eastAsia"/>
        </w:rPr>
        <w:t>）浆体混合料的配比试验及浆体性能试验，其试验方法应按《混凝土外加剂应用技术规范》（</w:t>
      </w:r>
      <w:r>
        <w:t>GBJ50119-2013</w:t>
      </w:r>
      <w:r>
        <w:rPr>
          <w:rFonts w:hint="eastAsia"/>
        </w:rPr>
        <w:t>）和《公路桥涵施工技术规范》（</w:t>
      </w:r>
      <w:r>
        <w:t>JTG/T 3650-2020</w:t>
      </w:r>
      <w:r>
        <w:rPr>
          <w:rFonts w:hint="eastAsia"/>
        </w:rPr>
        <w:t>）附录</w:t>
      </w:r>
      <w:r>
        <w:t>K</w:t>
      </w:r>
      <w:r>
        <w:rPr>
          <w:rFonts w:hint="eastAsia"/>
        </w:rPr>
        <w:t>进行测试；真空灌浆添加剂的检测方法及性能应符合《混凝土外加剂》（</w:t>
      </w:r>
      <w:r>
        <w:t>GB8076</w:t>
      </w:r>
      <w:r>
        <w:rPr>
          <w:rFonts w:hint="eastAsia"/>
        </w:rPr>
        <w:t>）和建材行业标准《混凝土膨胀剂》（</w:t>
      </w:r>
      <w:r>
        <w:t>GB/T23439-2017</w:t>
      </w:r>
      <w:r>
        <w:rPr>
          <w:rFonts w:hint="eastAsia"/>
        </w:rPr>
        <w:t>）的要求，并将试验成果报送监理人获得批准后方可使用。</w:t>
      </w:r>
    </w:p>
    <w:p w14:paraId="6A45A5F7">
      <w:pPr>
        <w:tabs>
          <w:tab w:val="left" w:pos="3120"/>
        </w:tabs>
        <w:spacing w:line="360" w:lineRule="auto"/>
        <w:ind w:firstLine="397"/>
      </w:pPr>
      <w:r>
        <w:rPr>
          <w:rFonts w:hint="eastAsia"/>
        </w:rPr>
        <w:t>（</w:t>
      </w:r>
      <w:r>
        <w:t>4</w:t>
      </w:r>
      <w:r>
        <w:rPr>
          <w:rFonts w:hint="eastAsia"/>
        </w:rPr>
        <w:t>）水泥浆的强度应符合图纸规定，图纸无具体规定时，其中</w:t>
      </w:r>
      <w:r>
        <w:t>28</w:t>
      </w:r>
      <w:r>
        <w:rPr>
          <w:rFonts w:hint="eastAsia"/>
        </w:rPr>
        <w:t>天抗压强度不低于</w:t>
      </w:r>
      <w:r>
        <w:t>50MPa</w:t>
      </w:r>
      <w:r>
        <w:rPr>
          <w:rFonts w:hint="eastAsia"/>
        </w:rPr>
        <w:t>、抗折强度不低于</w:t>
      </w:r>
      <w:r>
        <w:t>10MPa</w:t>
      </w:r>
      <w:r>
        <w:rPr>
          <w:rFonts w:hint="eastAsia"/>
        </w:rPr>
        <w:t>。</w:t>
      </w:r>
    </w:p>
    <w:p w14:paraId="54506CE3">
      <w:pPr>
        <w:tabs>
          <w:tab w:val="left" w:pos="3120"/>
        </w:tabs>
        <w:spacing w:line="360" w:lineRule="auto"/>
        <w:ind w:firstLine="397"/>
      </w:pPr>
      <w:r>
        <w:rPr>
          <w:rFonts w:hint="eastAsia"/>
        </w:rPr>
        <w:t>（</w:t>
      </w:r>
      <w:r>
        <w:t>5</w:t>
      </w:r>
      <w:r>
        <w:rPr>
          <w:rFonts w:hint="eastAsia"/>
        </w:rPr>
        <w:t>）水泥浆应由精确称量的强度等级不低于</w:t>
      </w:r>
      <w:r>
        <w:t>42.5</w:t>
      </w:r>
      <w:r>
        <w:rPr>
          <w:rFonts w:hint="eastAsia"/>
        </w:rPr>
        <w:t>级低碱普通硅酸盐水泥和水组成。所用水泥龄期不超过一个月。</w:t>
      </w:r>
    </w:p>
    <w:p w14:paraId="62E18AAD">
      <w:pPr>
        <w:tabs>
          <w:tab w:val="left" w:pos="3120"/>
        </w:tabs>
        <w:spacing w:line="360" w:lineRule="auto"/>
        <w:ind w:firstLine="397"/>
      </w:pPr>
      <w:r>
        <w:t>2</w:t>
      </w:r>
      <w:r>
        <w:rPr>
          <w:rFonts w:hint="eastAsia"/>
        </w:rPr>
        <w:t>．压浆设备</w:t>
      </w:r>
    </w:p>
    <w:p w14:paraId="582C22B2">
      <w:pPr>
        <w:tabs>
          <w:tab w:val="left" w:pos="3120"/>
        </w:tabs>
        <w:spacing w:line="360" w:lineRule="auto"/>
        <w:ind w:firstLine="397"/>
      </w:pPr>
      <w:r>
        <w:rPr>
          <w:rFonts w:hint="eastAsia"/>
        </w:rPr>
        <w:t>（</w:t>
      </w:r>
      <w:r>
        <w:t>1</w:t>
      </w:r>
      <w:r>
        <w:rPr>
          <w:rFonts w:hint="eastAsia"/>
        </w:rPr>
        <w:t>）搅拌机的转速应不低于</w:t>
      </w:r>
      <w:r>
        <w:t>1000r/min</w:t>
      </w:r>
      <w:r>
        <w:rPr>
          <w:rFonts w:hint="eastAsia"/>
        </w:rPr>
        <w:t>，搅拌叶的形状应与转速相匹配，其叶片的线速度不宜小于</w:t>
      </w:r>
      <w:r>
        <w:t>10m/s</w:t>
      </w:r>
      <w:r>
        <w:rPr>
          <w:rFonts w:hint="eastAsia"/>
        </w:rPr>
        <w:t>，最高线速宜限制在</w:t>
      </w:r>
      <w:r>
        <w:t>20m/s</w:t>
      </w:r>
      <w:r>
        <w:rPr>
          <w:rFonts w:hint="eastAsia"/>
        </w:rPr>
        <w:t>以内，且应能满足在规定时间内搅拌均匀的要求。</w:t>
      </w:r>
    </w:p>
    <w:p w14:paraId="3F0FDDED">
      <w:pPr>
        <w:tabs>
          <w:tab w:val="left" w:pos="3120"/>
        </w:tabs>
        <w:spacing w:line="360" w:lineRule="auto"/>
        <w:ind w:firstLine="397"/>
      </w:pPr>
      <w:r>
        <w:rPr>
          <w:rFonts w:hint="eastAsia"/>
        </w:rPr>
        <w:t>（</w:t>
      </w:r>
      <w:r>
        <w:t>2</w:t>
      </w:r>
      <w:r>
        <w:rPr>
          <w:rFonts w:hint="eastAsia"/>
        </w:rPr>
        <w:t>）压浆机应采用活塞式可连续作业的压浆泵，不得采用风压式压浆泵进行压浆。</w:t>
      </w:r>
    </w:p>
    <w:p w14:paraId="14CEACF2">
      <w:pPr>
        <w:tabs>
          <w:tab w:val="left" w:pos="3120"/>
        </w:tabs>
        <w:spacing w:line="360" w:lineRule="auto"/>
        <w:ind w:firstLine="397"/>
      </w:pPr>
      <w:r>
        <w:rPr>
          <w:rFonts w:hint="eastAsia"/>
        </w:rPr>
        <w:t>（</w:t>
      </w:r>
      <w:r>
        <w:t>3</w:t>
      </w:r>
      <w:r>
        <w:rPr>
          <w:rFonts w:hint="eastAsia"/>
        </w:rPr>
        <w:t>）真空泵应能达到</w:t>
      </w:r>
      <w:r>
        <w:t>0.10MPa</w:t>
      </w:r>
      <w:r>
        <w:rPr>
          <w:rFonts w:hint="eastAsia"/>
        </w:rPr>
        <w:t>的负压力。</w:t>
      </w:r>
    </w:p>
    <w:p w14:paraId="7B6CC069">
      <w:pPr>
        <w:tabs>
          <w:tab w:val="left" w:pos="3120"/>
        </w:tabs>
        <w:spacing w:line="360" w:lineRule="auto"/>
        <w:ind w:firstLine="397"/>
      </w:pPr>
      <w:r>
        <w:rPr>
          <w:rFonts w:hint="eastAsia"/>
        </w:rPr>
        <w:t>（</w:t>
      </w:r>
      <w:r>
        <w:t>4</w:t>
      </w:r>
      <w:r>
        <w:rPr>
          <w:rFonts w:hint="eastAsia"/>
        </w:rPr>
        <w:t>）压力表在第一次使用前及此后监理人认为需要时应加以校准。所有设备在压浆操作中至少每</w:t>
      </w:r>
      <w:r>
        <w:t>3</w:t>
      </w:r>
      <w:r>
        <w:rPr>
          <w:rFonts w:hint="eastAsia"/>
        </w:rPr>
        <w:t>个小时用清洁水彻底清洗一次，每天使用结束时也应清洗一次。压力表的最小分度值应不大于</w:t>
      </w:r>
      <w:r>
        <w:t>0.1MPa</w:t>
      </w:r>
      <w:r>
        <w:rPr>
          <w:rFonts w:hint="eastAsia"/>
        </w:rPr>
        <w:t>，最大量程应使实际工作压力在其</w:t>
      </w:r>
      <w:r>
        <w:t>25%~75%</w:t>
      </w:r>
      <w:r>
        <w:rPr>
          <w:rFonts w:hint="eastAsia"/>
        </w:rPr>
        <w:t>的量程范围内。</w:t>
      </w:r>
    </w:p>
    <w:p w14:paraId="0E7627F6">
      <w:pPr>
        <w:tabs>
          <w:tab w:val="left" w:pos="3120"/>
        </w:tabs>
        <w:spacing w:line="360" w:lineRule="auto"/>
        <w:ind w:firstLine="397"/>
      </w:pPr>
      <w:r>
        <w:t>3</w:t>
      </w:r>
      <w:r>
        <w:rPr>
          <w:rFonts w:hint="eastAsia"/>
        </w:rPr>
        <w:t>．压浆</w:t>
      </w:r>
    </w:p>
    <w:p w14:paraId="2ECF2BDD">
      <w:pPr>
        <w:tabs>
          <w:tab w:val="left" w:pos="3120"/>
        </w:tabs>
        <w:spacing w:line="360" w:lineRule="auto"/>
        <w:ind w:firstLine="397"/>
      </w:pPr>
      <w:r>
        <w:rPr>
          <w:rFonts w:hint="eastAsia"/>
        </w:rPr>
        <w:t>（</w:t>
      </w:r>
      <w:r>
        <w:t>1</w:t>
      </w:r>
      <w:r>
        <w:rPr>
          <w:rFonts w:hint="eastAsia"/>
        </w:rPr>
        <w:t>）张拉施工完成后，清水冲洗，高压风吹干，然后封锚，抽真空，压浆，搅拌机及储浆罐的体积必须大于所要压注的一条预应力孔道体积。</w:t>
      </w:r>
    </w:p>
    <w:p w14:paraId="46D3D6ED">
      <w:pPr>
        <w:tabs>
          <w:tab w:val="left" w:pos="3120"/>
        </w:tabs>
        <w:spacing w:line="360" w:lineRule="auto"/>
        <w:ind w:firstLine="397"/>
      </w:pPr>
      <w:r>
        <w:rPr>
          <w:rFonts w:hint="eastAsia"/>
        </w:rPr>
        <w:t>（</w:t>
      </w:r>
      <w:r>
        <w:t>2</w:t>
      </w:r>
      <w:r>
        <w:rPr>
          <w:rFonts w:hint="eastAsia"/>
        </w:rPr>
        <w:t>）压浆时，每一工作班应留取不少于</w:t>
      </w:r>
      <w:r>
        <w:t>3</w:t>
      </w:r>
      <w:r>
        <w:rPr>
          <w:rFonts w:hint="eastAsia"/>
        </w:rPr>
        <w:t>组尺寸为</w:t>
      </w:r>
      <w:r>
        <w:t>40mm×40mm×160mm</w:t>
      </w:r>
      <w:r>
        <w:rPr>
          <w:rFonts w:hint="eastAsia"/>
        </w:rPr>
        <w:t>的试件，标准养生</w:t>
      </w:r>
      <w:r>
        <w:t>28d</w:t>
      </w:r>
      <w:r>
        <w:rPr>
          <w:rFonts w:hint="eastAsia"/>
        </w:rPr>
        <w:t>，进行抗压强度和抗折强度试验，作为质量评定的依据。试验方法应按现行国家标准《水泥胶砂强度检验方法（</w:t>
      </w:r>
      <w:r>
        <w:t>ISO</w:t>
      </w:r>
      <w:r>
        <w:rPr>
          <w:rFonts w:hint="eastAsia"/>
        </w:rPr>
        <w:t>法）》（</w:t>
      </w:r>
      <w:r>
        <w:t>GB/T17671</w:t>
      </w:r>
      <w:r>
        <w:rPr>
          <w:rFonts w:hint="eastAsia"/>
        </w:rPr>
        <w:t>）的规定执行。</w:t>
      </w:r>
    </w:p>
    <w:p w14:paraId="5A9D0315">
      <w:pPr>
        <w:tabs>
          <w:tab w:val="left" w:pos="3120"/>
        </w:tabs>
        <w:spacing w:line="360" w:lineRule="auto"/>
        <w:ind w:firstLine="397"/>
      </w:pPr>
      <w:r>
        <w:rPr>
          <w:rFonts w:hint="eastAsia"/>
        </w:rPr>
        <w:t>（</w:t>
      </w:r>
      <w:r>
        <w:t>3</w:t>
      </w:r>
      <w:r>
        <w:rPr>
          <w:rFonts w:hint="eastAsia"/>
        </w:rPr>
        <w:t>）真空吸浆的管道在</w:t>
      </w:r>
      <w:r>
        <w:t>24h</w:t>
      </w:r>
      <w:r>
        <w:rPr>
          <w:rFonts w:hint="eastAsia"/>
        </w:rPr>
        <w:t>不得受振动，压浆过程中及压浆后</w:t>
      </w:r>
      <w:r>
        <w:t>48h</w:t>
      </w:r>
      <w:r>
        <w:rPr>
          <w:rFonts w:hint="eastAsia"/>
        </w:rPr>
        <w:t>内，结构或构件混凝土的温度及环境温度不得低于5℃，否则应采取保温措施，并应按冬期施工的要求处理，浆液中可适量掺用引气剂，但不得掺用防冻剂。当环境温度高于35℃，压浆宜在夜间进行，水泥浆温度不得超过32℃。</w:t>
      </w:r>
    </w:p>
    <w:p w14:paraId="5B57F065">
      <w:pPr>
        <w:tabs>
          <w:tab w:val="left" w:pos="3120"/>
        </w:tabs>
        <w:spacing w:line="360" w:lineRule="auto"/>
        <w:ind w:firstLine="397"/>
      </w:pPr>
      <w:r>
        <w:rPr>
          <w:rFonts w:hint="eastAsia"/>
        </w:rPr>
        <w:t>（</w:t>
      </w:r>
      <w:r>
        <w:t>4</w:t>
      </w:r>
      <w:r>
        <w:rPr>
          <w:rFonts w:hint="eastAsia"/>
        </w:rPr>
        <w:t>）管道压浆应尽可能在预应力钢筋张拉完成和监理人同意压浆后立即进行，一般不得超过</w:t>
      </w:r>
      <w:r>
        <w:t>3d</w:t>
      </w:r>
      <w:r>
        <w:rPr>
          <w:rFonts w:hint="eastAsia"/>
        </w:rPr>
        <w:t>，其应在</w:t>
      </w:r>
      <w:r>
        <w:t>48h</w:t>
      </w:r>
      <w:r>
        <w:rPr>
          <w:rFonts w:hint="eastAsia"/>
        </w:rPr>
        <w:t>内完成压浆，否则应采取避免预应力筋锈蚀的措施。必须在监理人在场，才允许进行管道压浆，压浆时，对曲线孔道和竖向孔道应从最低点的压浆孔压入，从抽真空端排出浆体，直到流出的稠度达到注入的稠度。对结构或构件中以上下层设置的孔道，应按先下层后上层的顺序进行压浆。同一管道的压浆应连续进行，一次完成。</w:t>
      </w:r>
    </w:p>
    <w:p w14:paraId="06E84BF0">
      <w:pPr>
        <w:tabs>
          <w:tab w:val="left" w:pos="3120"/>
        </w:tabs>
        <w:spacing w:line="360" w:lineRule="auto"/>
        <w:ind w:firstLine="397"/>
      </w:pPr>
      <w:r>
        <w:rPr>
          <w:rFonts w:hint="eastAsia"/>
        </w:rPr>
        <w:t>（</w:t>
      </w:r>
      <w:r>
        <w:t>5</w:t>
      </w:r>
      <w:r>
        <w:rPr>
          <w:rFonts w:hint="eastAsia"/>
        </w:rPr>
        <w:t>）水泥浆自调制至压入孔道的延续时间，不宜超过</w:t>
      </w:r>
      <w:r>
        <w:t>40min</w:t>
      </w:r>
      <w:r>
        <w:rPr>
          <w:rFonts w:hint="eastAsia"/>
        </w:rPr>
        <w:t>，水泥浆在使用前和压注过程中应保持流动状态，不得通过额外加水增加其流动度。</w:t>
      </w:r>
    </w:p>
    <w:p w14:paraId="16619D83">
      <w:pPr>
        <w:tabs>
          <w:tab w:val="left" w:pos="3120"/>
        </w:tabs>
        <w:spacing w:line="360" w:lineRule="auto"/>
        <w:ind w:firstLine="397"/>
      </w:pPr>
      <w:r>
        <w:rPr>
          <w:rFonts w:hint="eastAsia"/>
        </w:rPr>
        <w:t>（</w:t>
      </w:r>
      <w:r>
        <w:t>6</w:t>
      </w:r>
      <w:r>
        <w:rPr>
          <w:rFonts w:hint="eastAsia"/>
        </w:rPr>
        <w:t>）按真空辅助压浆工艺，当浆体从孔道抽真空端流出时，应在孔道两端进行排废作业，然后保持一个不小于</w:t>
      </w:r>
      <w:r>
        <w:t>0.5MPa</w:t>
      </w:r>
      <w:r>
        <w:rPr>
          <w:rFonts w:hint="eastAsia"/>
        </w:rPr>
        <w:t>的稳压期，稳压期保持时间为</w:t>
      </w:r>
      <w:r>
        <w:t>3~5min</w:t>
      </w:r>
      <w:r>
        <w:rPr>
          <w:rFonts w:hint="eastAsia"/>
        </w:rPr>
        <w:t>。压满浆的管道应进行保护，使在一天内不受震动。在压浆后两天，应检查注入端及出气孔的水泥浆密实情况，需要时进行处理。</w:t>
      </w:r>
    </w:p>
    <w:p w14:paraId="4F5533DB">
      <w:pPr>
        <w:tabs>
          <w:tab w:val="left" w:pos="3120"/>
        </w:tabs>
        <w:spacing w:line="360" w:lineRule="auto"/>
        <w:ind w:firstLine="397"/>
      </w:pPr>
      <w:r>
        <w:rPr>
          <w:rFonts w:hint="eastAsia"/>
        </w:rPr>
        <w:t>（</w:t>
      </w:r>
      <w:r>
        <w:t>7</w:t>
      </w:r>
      <w:r>
        <w:rPr>
          <w:rFonts w:hint="eastAsia"/>
        </w:rPr>
        <w:t>）管道采用真空吸浆法压浆，在施工前，应对真空吸浆工艺进行必要的试验，并制定管道压浆施工方案及详细说明报请监理人审查，经监理人批准后方可实施。</w:t>
      </w:r>
    </w:p>
    <w:p w14:paraId="684A6C4F">
      <w:pPr>
        <w:tabs>
          <w:tab w:val="left" w:pos="3120"/>
        </w:tabs>
        <w:spacing w:line="360" w:lineRule="auto"/>
        <w:ind w:firstLine="397"/>
      </w:pPr>
      <w:r>
        <w:rPr>
          <w:rFonts w:hint="eastAsia"/>
        </w:rPr>
        <w:t>（</w:t>
      </w:r>
      <w:r>
        <w:t>8</w:t>
      </w:r>
      <w:r>
        <w:rPr>
          <w:rFonts w:hint="eastAsia"/>
        </w:rPr>
        <w:t>）真空吸浆工艺的技术条件应符合如下要求：</w:t>
      </w:r>
    </w:p>
    <w:p w14:paraId="224804CD">
      <w:pPr>
        <w:tabs>
          <w:tab w:val="left" w:pos="3120"/>
        </w:tabs>
        <w:spacing w:line="360" w:lineRule="auto"/>
        <w:ind w:firstLine="397"/>
      </w:pPr>
      <w:r>
        <w:t>a.</w:t>
      </w:r>
      <w:r>
        <w:rPr>
          <w:rFonts w:hint="eastAsia"/>
        </w:rPr>
        <w:t>预应力管道及管道两端必须密封；</w:t>
      </w:r>
    </w:p>
    <w:p w14:paraId="4ED2ED9B">
      <w:pPr>
        <w:tabs>
          <w:tab w:val="left" w:pos="3120"/>
        </w:tabs>
        <w:spacing w:line="360" w:lineRule="auto"/>
        <w:ind w:firstLine="397"/>
      </w:pPr>
      <w:r>
        <w:t>b.</w:t>
      </w:r>
      <w:r>
        <w:rPr>
          <w:rFonts w:hint="eastAsia"/>
        </w:rPr>
        <w:t>抽真空时管道内真空度（负压）控制在</w:t>
      </w:r>
      <w:r>
        <w:t>-0.06</w:t>
      </w:r>
      <w:r>
        <w:rPr>
          <w:rFonts w:hint="eastAsia"/>
        </w:rPr>
        <w:t>～</w:t>
      </w:r>
      <w:r>
        <w:t>-0.1MPa</w:t>
      </w:r>
      <w:r>
        <w:rPr>
          <w:rFonts w:hint="eastAsia"/>
        </w:rPr>
        <w:t>之间；</w:t>
      </w:r>
    </w:p>
    <w:p w14:paraId="1C9DA1DC">
      <w:pPr>
        <w:tabs>
          <w:tab w:val="left" w:pos="3120"/>
        </w:tabs>
        <w:spacing w:line="360" w:lineRule="auto"/>
        <w:ind w:firstLine="397"/>
      </w:pPr>
      <w:r>
        <w:t>c.</w:t>
      </w:r>
      <w:r>
        <w:rPr>
          <w:rFonts w:hint="eastAsia"/>
        </w:rPr>
        <w:t>对水平或曲线孔道，管道压浆的压力宜为</w:t>
      </w:r>
      <w:r>
        <w:t>0.5~0.7MPa</w:t>
      </w:r>
      <w:r>
        <w:rPr>
          <w:rFonts w:hint="eastAsia"/>
        </w:rPr>
        <w:t>；对超长孔道，最大压力不宜超过</w:t>
      </w:r>
      <w:r>
        <w:t>1.0MPa</w:t>
      </w:r>
      <w:r>
        <w:rPr>
          <w:rFonts w:hint="eastAsia"/>
        </w:rPr>
        <w:t>，对竖向孔道，压浆的压力宜为</w:t>
      </w:r>
      <w:r>
        <w:t>0.3~0.4MPa</w:t>
      </w:r>
      <w:r>
        <w:rPr>
          <w:rFonts w:hint="eastAsia"/>
        </w:rPr>
        <w:t>。</w:t>
      </w:r>
    </w:p>
    <w:p w14:paraId="3163DA50">
      <w:pPr>
        <w:tabs>
          <w:tab w:val="left" w:pos="3120"/>
        </w:tabs>
        <w:spacing w:line="360" w:lineRule="auto"/>
        <w:ind w:firstLine="397"/>
      </w:pPr>
      <w:r>
        <w:t>d.</w:t>
      </w:r>
      <w:r>
        <w:rPr>
          <w:rFonts w:hint="eastAsia"/>
        </w:rPr>
        <w:t>浆体强度：符合图纸规定。</w:t>
      </w:r>
    </w:p>
    <w:p w14:paraId="22F5F329">
      <w:pPr>
        <w:tabs>
          <w:tab w:val="left" w:pos="3120"/>
        </w:tabs>
        <w:spacing w:line="360" w:lineRule="auto"/>
        <w:ind w:firstLine="397"/>
      </w:pPr>
      <w:r>
        <w:rPr>
          <w:rFonts w:hint="eastAsia"/>
        </w:rPr>
        <w:t>（</w:t>
      </w:r>
      <w:r>
        <w:t>9</w:t>
      </w:r>
      <w:r>
        <w:rPr>
          <w:rFonts w:hint="eastAsia"/>
        </w:rPr>
        <w:t>）承包人应按经监理人批准的压浆施工方案中的压浆顺序、方法以及安全操作事项进行施工。</w:t>
      </w:r>
    </w:p>
    <w:p w14:paraId="6A539455">
      <w:pPr>
        <w:tabs>
          <w:tab w:val="left" w:pos="3120"/>
        </w:tabs>
        <w:spacing w:line="360" w:lineRule="auto"/>
        <w:ind w:firstLine="397"/>
      </w:pPr>
      <w:r>
        <w:rPr>
          <w:rFonts w:hint="eastAsia"/>
        </w:rPr>
        <w:t>（</w:t>
      </w:r>
      <w:r>
        <w:t>10</w:t>
      </w:r>
      <w:r>
        <w:rPr>
          <w:rFonts w:hint="eastAsia"/>
        </w:rPr>
        <w:t>）承包人应具有完备的压浆记录，包括压浆材料、配合比、每个管道的压浆日期、搅拌时间、出机初始流动度、浆液温度、环境温度、压浆压力、稳压压力及时间、试块强度、障碍事故细节及需要补做的工作。这些记录的抄件应在压浆后</w:t>
      </w:r>
      <w:r>
        <w:t>3d</w:t>
      </w:r>
      <w:r>
        <w:rPr>
          <w:rFonts w:hint="eastAsia"/>
        </w:rPr>
        <w:t>内送交监理人。</w:t>
      </w:r>
    </w:p>
    <w:p w14:paraId="74FB20F7">
      <w:pPr>
        <w:spacing w:line="360" w:lineRule="auto"/>
        <w:rPr>
          <w:rFonts w:eastAsia="黑体"/>
          <w:sz w:val="28"/>
          <w:szCs w:val="28"/>
        </w:rPr>
      </w:pPr>
      <w:r>
        <w:rPr>
          <w:rFonts w:eastAsia="黑体"/>
          <w:sz w:val="28"/>
          <w:szCs w:val="28"/>
        </w:rPr>
        <w:t xml:space="preserve">411.11 </w:t>
      </w:r>
      <w:r>
        <w:rPr>
          <w:rFonts w:hint="eastAsia" w:eastAsia="黑体"/>
          <w:sz w:val="28"/>
          <w:szCs w:val="28"/>
        </w:rPr>
        <w:t>质量检验</w:t>
      </w:r>
    </w:p>
    <w:p w14:paraId="49AED997">
      <w:pPr>
        <w:tabs>
          <w:tab w:val="left" w:pos="3120"/>
        </w:tabs>
        <w:spacing w:line="360" w:lineRule="auto"/>
        <w:ind w:firstLine="397"/>
      </w:pPr>
      <w:r>
        <w:t>3</w:t>
      </w:r>
      <w:r>
        <w:rPr>
          <w:rFonts w:hint="eastAsia"/>
        </w:rPr>
        <w:t>．原材料质量</w:t>
      </w:r>
    </w:p>
    <w:p w14:paraId="4F620BE7">
      <w:pPr>
        <w:tabs>
          <w:tab w:val="left" w:pos="3120"/>
        </w:tabs>
        <w:spacing w:line="360" w:lineRule="auto"/>
        <w:ind w:firstLine="397"/>
      </w:pPr>
      <w:r>
        <w:rPr>
          <w:rFonts w:hint="eastAsia"/>
        </w:rPr>
        <w:t>（</w:t>
      </w:r>
      <w:r>
        <w:t>2</w:t>
      </w:r>
      <w:r>
        <w:rPr>
          <w:rFonts w:hint="eastAsia"/>
        </w:rPr>
        <w:t>）钢绞线</w:t>
      </w:r>
    </w:p>
    <w:p w14:paraId="5CD51373">
      <w:pPr>
        <w:tabs>
          <w:tab w:val="left" w:pos="3120"/>
        </w:tabs>
        <w:spacing w:line="360" w:lineRule="auto"/>
        <w:ind w:firstLine="397"/>
      </w:pPr>
      <w:r>
        <w:rPr>
          <w:rFonts w:hint="eastAsia"/>
        </w:rPr>
        <w:t>补充</w:t>
      </w:r>
      <w:r>
        <w:t>c</w:t>
      </w:r>
      <w:r>
        <w:rPr>
          <w:rFonts w:hint="eastAsia"/>
        </w:rPr>
        <w:t>项：</w:t>
      </w:r>
    </w:p>
    <w:p w14:paraId="36990E71">
      <w:pPr>
        <w:tabs>
          <w:tab w:val="left" w:pos="3120"/>
        </w:tabs>
        <w:spacing w:line="360" w:lineRule="auto"/>
        <w:ind w:firstLine="397"/>
      </w:pPr>
      <w:r>
        <w:t>c.</w:t>
      </w:r>
      <w:r>
        <w:rPr>
          <w:rFonts w:hint="eastAsia"/>
        </w:rPr>
        <w:t>钢绞线的质量必须符合国家现行有关标准，如国家有新标准出台，则应符合国家所颁发的最新版本的质量和技术标准。其中应力松弛性能：</w:t>
      </w:r>
      <w:r>
        <w:t>1000</w:t>
      </w:r>
      <w:r>
        <w:rPr>
          <w:rFonts w:hint="eastAsia"/>
        </w:rPr>
        <w:t>小时后应力松弛率不大于</w:t>
      </w:r>
      <w:r>
        <w:t>2.5%</w:t>
      </w:r>
      <w:r>
        <w:rPr>
          <w:rFonts w:hint="eastAsia"/>
        </w:rPr>
        <w:t>。</w:t>
      </w:r>
    </w:p>
    <w:p w14:paraId="083E93B2">
      <w:pPr>
        <w:tabs>
          <w:tab w:val="left" w:pos="3120"/>
        </w:tabs>
        <w:spacing w:line="360" w:lineRule="auto"/>
        <w:ind w:firstLine="397"/>
      </w:pPr>
      <w:r>
        <w:rPr>
          <w:rFonts w:hint="eastAsia"/>
        </w:rPr>
        <w:t>第（</w:t>
      </w:r>
      <w:r>
        <w:t>7</w:t>
      </w:r>
      <w:r>
        <w:rPr>
          <w:rFonts w:hint="eastAsia"/>
        </w:rPr>
        <w:t>）款修改为：</w:t>
      </w:r>
    </w:p>
    <w:p w14:paraId="124C738B">
      <w:pPr>
        <w:tabs>
          <w:tab w:val="left" w:pos="3120"/>
        </w:tabs>
        <w:spacing w:line="360" w:lineRule="auto"/>
        <w:ind w:firstLine="397"/>
      </w:pPr>
      <w:r>
        <w:rPr>
          <w:rFonts w:hint="eastAsia"/>
        </w:rPr>
        <w:t>（</w:t>
      </w:r>
      <w:r>
        <w:t>7</w:t>
      </w:r>
      <w:r>
        <w:rPr>
          <w:rFonts w:hint="eastAsia"/>
        </w:rPr>
        <w:t>）锚具、夹具和连接器</w:t>
      </w:r>
    </w:p>
    <w:p w14:paraId="440ECC4F">
      <w:pPr>
        <w:tabs>
          <w:tab w:val="left" w:pos="3120"/>
        </w:tabs>
        <w:spacing w:line="360" w:lineRule="auto"/>
        <w:ind w:firstLine="397"/>
      </w:pPr>
      <w:r>
        <w:t>a.</w:t>
      </w:r>
      <w:r>
        <w:rPr>
          <w:rFonts w:hint="eastAsia"/>
        </w:rPr>
        <w:t>锚具、夹具和连接器进场时，应按出厂合格证和质量证明书核查其锚固性能类别、型号、规格及数量。</w:t>
      </w:r>
    </w:p>
    <w:p w14:paraId="18824563">
      <w:pPr>
        <w:tabs>
          <w:tab w:val="left" w:pos="3120"/>
        </w:tabs>
        <w:spacing w:line="360" w:lineRule="auto"/>
        <w:ind w:firstLine="397"/>
      </w:pPr>
      <w:r>
        <w:t>b.</w:t>
      </w:r>
      <w:r>
        <w:rPr>
          <w:rFonts w:hint="eastAsia"/>
        </w:rPr>
        <w:t>按图纸要求采用预应力筋的锚具、夹具和连接器，应符合现行的行业标准《公路桥梁预应力钢绞线用锚具、夹具和连接器》（</w:t>
      </w:r>
      <w:r>
        <w:t>JT/T329-2010</w:t>
      </w:r>
      <w:r>
        <w:rPr>
          <w:rFonts w:hint="eastAsia"/>
        </w:rPr>
        <w:t>）的规定。同时应满足真空辅助压浆管道和与预应力孔道组成密闭系统的性能要求。</w:t>
      </w:r>
    </w:p>
    <w:p w14:paraId="1B3A49CA">
      <w:pPr>
        <w:tabs>
          <w:tab w:val="left" w:pos="3120"/>
        </w:tabs>
        <w:spacing w:line="360" w:lineRule="auto"/>
        <w:ind w:firstLine="397"/>
      </w:pPr>
      <w:r>
        <w:rPr>
          <w:rFonts w:hint="eastAsia"/>
        </w:rPr>
        <w:t>锚具应满足分级张拉、补张拉以及放松预应力的要求。锚具或其附件上设置压浆孔或排气孔，压浆孔应有足够的截面面积，以保证浆液的畅通。</w:t>
      </w:r>
    </w:p>
    <w:p w14:paraId="747953B7">
      <w:pPr>
        <w:tabs>
          <w:tab w:val="left" w:pos="3120"/>
        </w:tabs>
        <w:spacing w:line="360" w:lineRule="auto"/>
        <w:ind w:firstLine="397"/>
      </w:pPr>
      <w:r>
        <w:rPr>
          <w:rFonts w:hint="eastAsia"/>
        </w:rPr>
        <w:t>夹具应具有良好的自锚性能，松锚性能和重复使用性能。需敲击才能松开的夹具，必须保证其对预应力筋的锚固没有影响，且对操作人员的安全不造成危险。连接器必须符合锚具的性能要求。</w:t>
      </w:r>
    </w:p>
    <w:p w14:paraId="16978F47">
      <w:pPr>
        <w:tabs>
          <w:tab w:val="left" w:pos="3120"/>
        </w:tabs>
        <w:spacing w:line="360" w:lineRule="auto"/>
        <w:ind w:firstLine="397"/>
      </w:pPr>
      <w:r>
        <w:t>c.</w:t>
      </w:r>
      <w:r>
        <w:rPr>
          <w:rFonts w:hint="eastAsia"/>
        </w:rPr>
        <w:t>预应力筋锚具、夹具和连接器验收批的划分：在同种材料和同一生产工艺条件下，锚具应以不超过</w:t>
      </w:r>
      <w:r>
        <w:t>1000</w:t>
      </w:r>
      <w:r>
        <w:rPr>
          <w:rFonts w:hint="eastAsia"/>
        </w:rPr>
        <w:t>套组为一个验收批；夹具、连接器以不超过</w:t>
      </w:r>
      <w:r>
        <w:t>500</w:t>
      </w:r>
      <w:r>
        <w:rPr>
          <w:rFonts w:hint="eastAsia"/>
        </w:rPr>
        <w:t>套组为一验收批。</w:t>
      </w:r>
    </w:p>
    <w:p w14:paraId="79D8476F">
      <w:pPr>
        <w:tabs>
          <w:tab w:val="left" w:pos="3120"/>
        </w:tabs>
        <w:spacing w:line="360" w:lineRule="auto"/>
        <w:ind w:firstLine="397"/>
      </w:pPr>
      <w:r>
        <w:t>d.</w:t>
      </w:r>
      <w:r>
        <w:rPr>
          <w:rFonts w:hint="eastAsia"/>
        </w:rPr>
        <w:t>锚具、夹具和连接器进场检验及验收按《公路桥涵施工技术规范》（</w:t>
      </w:r>
      <w:r>
        <w:t>JTG/T 3650-2020</w:t>
      </w:r>
      <w:r>
        <w:rPr>
          <w:rFonts w:hint="eastAsia"/>
        </w:rPr>
        <w:t>）相关规定执行。</w:t>
      </w:r>
    </w:p>
    <w:p w14:paraId="1F0348E1">
      <w:pPr>
        <w:tabs>
          <w:tab w:val="left" w:pos="3120"/>
        </w:tabs>
        <w:spacing w:line="360" w:lineRule="auto"/>
        <w:ind w:firstLine="397"/>
      </w:pPr>
      <w:r>
        <w:rPr>
          <w:rFonts w:hint="eastAsia"/>
        </w:rPr>
        <w:t>补充第（</w:t>
      </w:r>
      <w:r>
        <w:t>8</w:t>
      </w:r>
      <w:r>
        <w:rPr>
          <w:rFonts w:hint="eastAsia"/>
        </w:rPr>
        <w:t>）款：</w:t>
      </w:r>
    </w:p>
    <w:p w14:paraId="18708857">
      <w:pPr>
        <w:tabs>
          <w:tab w:val="left" w:pos="3120"/>
        </w:tabs>
        <w:spacing w:line="360" w:lineRule="auto"/>
        <w:ind w:firstLine="397"/>
      </w:pPr>
      <w:r>
        <w:rPr>
          <w:rFonts w:hint="eastAsia"/>
        </w:rPr>
        <w:t>（</w:t>
      </w:r>
      <w:r>
        <w:t>8</w:t>
      </w:r>
      <w:r>
        <w:rPr>
          <w:rFonts w:hint="eastAsia"/>
        </w:rPr>
        <w:t>）预应力钢筋管道</w:t>
      </w:r>
    </w:p>
    <w:p w14:paraId="6DA02CEC">
      <w:pPr>
        <w:tabs>
          <w:tab w:val="left" w:pos="3120"/>
        </w:tabs>
        <w:spacing w:line="360" w:lineRule="auto"/>
        <w:ind w:firstLine="397"/>
      </w:pPr>
      <w:r>
        <w:t>a.</w:t>
      </w:r>
      <w:r>
        <w:rPr>
          <w:rFonts w:hint="eastAsia"/>
        </w:rPr>
        <w:t>波纹管进场时，生产厂家应提供试验报告、质量保证书和合格证。承包人除应按出厂合格证和质量保证书核对其类别、型号、规格及数量外，还应对其外观形状、主要尺寸及密封性进行检测。上述检验方法可参照《</w:t>
      </w:r>
      <w:r>
        <w:t>FIB</w:t>
      </w:r>
      <w:r>
        <w:rPr>
          <w:rFonts w:hint="eastAsia"/>
        </w:rPr>
        <w:t>强化及预应力材料与系统委员会》提出的条例的规定执行，其取样数量、检验内容和顺序及质量要求应符合《计数抽样检验程序</w:t>
      </w:r>
      <w:r>
        <w:t xml:space="preserve"> </w:t>
      </w:r>
      <w:r>
        <w:rPr>
          <w:rFonts w:hint="eastAsia"/>
        </w:rPr>
        <w:t>第</w:t>
      </w:r>
      <w:r>
        <w:t>1</w:t>
      </w:r>
      <w:r>
        <w:rPr>
          <w:rFonts w:hint="eastAsia"/>
        </w:rPr>
        <w:t>部分</w:t>
      </w:r>
      <w:r>
        <w:t>:</w:t>
      </w:r>
      <w:r>
        <w:rPr>
          <w:rFonts w:hint="eastAsia"/>
        </w:rPr>
        <w:t>按接收质量限（</w:t>
      </w:r>
      <w:r>
        <w:t>AQL</w:t>
      </w:r>
      <w:r>
        <w:rPr>
          <w:rFonts w:hint="eastAsia"/>
        </w:rPr>
        <w:t>）检索的逐批检验抽样计划》（</w:t>
      </w:r>
      <w:r>
        <w:t>GB/T 2828.1-2003</w:t>
      </w:r>
      <w:r>
        <w:rPr>
          <w:rFonts w:hint="eastAsia"/>
        </w:rPr>
        <w:t>）标准的规定。</w:t>
      </w:r>
    </w:p>
    <w:p w14:paraId="1CDFAC61">
      <w:pPr>
        <w:tabs>
          <w:tab w:val="left" w:pos="3120"/>
        </w:tabs>
        <w:spacing w:line="360" w:lineRule="auto"/>
        <w:ind w:firstLine="397"/>
      </w:pPr>
      <w:r>
        <w:t>b.</w:t>
      </w:r>
      <w:r>
        <w:rPr>
          <w:rFonts w:hint="eastAsia"/>
        </w:rPr>
        <w:t>管道应按批进行检验。金属波纹管每批应由同一钢带生产厂生产的同一批钢带所制造的产品组成，累计半年或</w:t>
      </w:r>
      <w:r>
        <w:t>50000m</w:t>
      </w:r>
      <w:r>
        <w:rPr>
          <w:rFonts w:hint="eastAsia"/>
        </w:rPr>
        <w:t>生产量为一批，不足半年产量或</w:t>
      </w:r>
      <w:r>
        <w:t>50000m</w:t>
      </w:r>
      <w:r>
        <w:rPr>
          <w:rFonts w:hint="eastAsia"/>
        </w:rPr>
        <w:t>也作为一批的，则取产量最多的规格；塑料波纹管每批应由同一配方、同一生产工艺、同设备稳定连续生产的产品组成，每批数量应不超过</w:t>
      </w:r>
      <w:r>
        <w:t>10000m</w:t>
      </w:r>
      <w:r>
        <w:rPr>
          <w:rFonts w:hint="eastAsia"/>
        </w:rPr>
        <w:t>。</w:t>
      </w:r>
    </w:p>
    <w:p w14:paraId="021586E9">
      <w:pPr>
        <w:tabs>
          <w:tab w:val="left" w:pos="3120"/>
        </w:tabs>
        <w:spacing w:line="360" w:lineRule="auto"/>
        <w:ind w:firstLine="397"/>
      </w:pPr>
      <w:r>
        <w:t>c.</w:t>
      </w:r>
      <w:r>
        <w:rPr>
          <w:rFonts w:hint="eastAsia"/>
        </w:rPr>
        <w:t>当第</w:t>
      </w:r>
      <w:r>
        <w:t>a</w:t>
      </w:r>
      <w:r>
        <w:rPr>
          <w:rFonts w:hint="eastAsia"/>
        </w:rPr>
        <w:t>款规定的项目检验结果有不合格项目时，应以双倍数量的试件对该不合格项目进行复验，复验仍不合格时，则该批产品为不合格。</w:t>
      </w:r>
    </w:p>
    <w:p w14:paraId="21024044">
      <w:pPr>
        <w:tabs>
          <w:tab w:val="left" w:pos="3120"/>
        </w:tabs>
        <w:spacing w:line="360" w:lineRule="auto"/>
        <w:ind w:firstLine="397"/>
      </w:pPr>
      <w:r>
        <w:rPr>
          <w:rFonts w:hint="eastAsia"/>
        </w:rPr>
        <w:t>补充第</w:t>
      </w:r>
      <w:r>
        <w:t>4</w:t>
      </w:r>
      <w:r>
        <w:rPr>
          <w:rFonts w:hint="eastAsia"/>
        </w:rPr>
        <w:t>条</w:t>
      </w:r>
    </w:p>
    <w:p w14:paraId="06134A8C">
      <w:pPr>
        <w:tabs>
          <w:tab w:val="left" w:pos="3120"/>
        </w:tabs>
        <w:spacing w:line="360" w:lineRule="auto"/>
        <w:ind w:firstLine="397"/>
      </w:pPr>
      <w:r>
        <w:t>4.</w:t>
      </w:r>
      <w:r>
        <w:rPr>
          <w:rFonts w:hint="eastAsia"/>
        </w:rPr>
        <w:t>支架法浇筑预应力混凝土箱梁</w:t>
      </w:r>
    </w:p>
    <w:p w14:paraId="6DD1C2FC">
      <w:pPr>
        <w:tabs>
          <w:tab w:val="left" w:pos="3120"/>
        </w:tabs>
        <w:spacing w:line="360" w:lineRule="auto"/>
        <w:ind w:firstLine="397"/>
      </w:pPr>
      <w:r>
        <w:rPr>
          <w:rFonts w:hint="eastAsia"/>
        </w:rPr>
        <w:t>（</w:t>
      </w:r>
      <w:r>
        <w:t>1</w:t>
      </w:r>
      <w:r>
        <w:rPr>
          <w:rFonts w:hint="eastAsia"/>
        </w:rPr>
        <w:t>）就地浇筑梁、板应符合下列基本要求</w:t>
      </w:r>
      <w:r>
        <w:t>:</w:t>
      </w:r>
    </w:p>
    <w:p w14:paraId="032292FE">
      <w:pPr>
        <w:tabs>
          <w:tab w:val="left" w:pos="3120"/>
        </w:tabs>
        <w:spacing w:line="360" w:lineRule="auto"/>
        <w:ind w:firstLine="397"/>
      </w:pPr>
      <w:r>
        <w:t>a.</w:t>
      </w:r>
      <w:r>
        <w:rPr>
          <w:rFonts w:hint="eastAsia"/>
        </w:rPr>
        <w:t>支架和模板的强度、刚度、稳定性应符合施工技术规范的规定。</w:t>
      </w:r>
    </w:p>
    <w:p w14:paraId="700AC748">
      <w:pPr>
        <w:tabs>
          <w:tab w:val="left" w:pos="3120"/>
        </w:tabs>
        <w:spacing w:line="360" w:lineRule="auto"/>
        <w:ind w:firstLine="397"/>
      </w:pPr>
      <w:r>
        <w:t>b.</w:t>
      </w:r>
      <w:r>
        <w:rPr>
          <w:rFonts w:hint="eastAsia"/>
        </w:rPr>
        <w:t>预计的支架变形及支承的下沉量应满足施工后梁体设计高程的要求，需要消除支承不均匀沉降、非弹性变形的支架应进行预压。</w:t>
      </w:r>
    </w:p>
    <w:p w14:paraId="10C0F09D">
      <w:pPr>
        <w:tabs>
          <w:tab w:val="left" w:pos="3120"/>
        </w:tabs>
        <w:spacing w:line="360" w:lineRule="auto"/>
        <w:ind w:firstLine="397"/>
      </w:pPr>
      <w:r>
        <w:t>c.</w:t>
      </w:r>
      <w:r>
        <w:rPr>
          <w:rFonts w:hint="eastAsia"/>
        </w:rPr>
        <w:t>预埋件的设置和固定应满足设计要求并符合施工技术规范的规定。</w:t>
      </w:r>
    </w:p>
    <w:p w14:paraId="37F41DA0">
      <w:pPr>
        <w:tabs>
          <w:tab w:val="left" w:pos="3120"/>
        </w:tabs>
        <w:spacing w:line="360" w:lineRule="auto"/>
        <w:ind w:firstLine="397"/>
      </w:pPr>
      <w:r>
        <w:rPr>
          <w:rFonts w:hint="eastAsia"/>
        </w:rPr>
        <w:t>（</w:t>
      </w:r>
      <w:r>
        <w:t>2</w:t>
      </w:r>
      <w:r>
        <w:rPr>
          <w:rFonts w:hint="eastAsia"/>
        </w:rPr>
        <w:t>）就地浇筑梁、</w:t>
      </w:r>
      <w:r>
        <w:t xml:space="preserve"> </w:t>
      </w:r>
      <w:r>
        <w:rPr>
          <w:rFonts w:hint="eastAsia"/>
        </w:rPr>
        <w:t>板实测项目应符合《公路工程质量检验评定标准</w:t>
      </w:r>
      <w:r>
        <w:t xml:space="preserve"> </w:t>
      </w:r>
      <w:r>
        <w:rPr>
          <w:rFonts w:hint="eastAsia"/>
        </w:rPr>
        <w:t>第一册</w:t>
      </w:r>
      <w:r>
        <w:t xml:space="preserve"> </w:t>
      </w:r>
      <w:r>
        <w:rPr>
          <w:rFonts w:hint="eastAsia"/>
        </w:rPr>
        <w:t>土建工程》（</w:t>
      </w:r>
      <w:r>
        <w:t>JTGF80-1-2017</w:t>
      </w:r>
      <w:r>
        <w:rPr>
          <w:rFonts w:hint="eastAsia"/>
        </w:rPr>
        <w:t>）表</w:t>
      </w:r>
      <w:r>
        <w:t>8.7.1</w:t>
      </w:r>
      <w:r>
        <w:rPr>
          <w:rFonts w:hint="eastAsia"/>
        </w:rPr>
        <w:t>的规定。</w:t>
      </w:r>
    </w:p>
    <w:p w14:paraId="09896AE4">
      <w:pPr>
        <w:tabs>
          <w:tab w:val="left" w:pos="3120"/>
        </w:tabs>
        <w:spacing w:line="360" w:lineRule="auto"/>
        <w:ind w:firstLine="397"/>
      </w:pPr>
      <w:r>
        <w:rPr>
          <w:rFonts w:hint="eastAsia"/>
        </w:rPr>
        <w:t>（</w:t>
      </w:r>
      <w:r>
        <w:t>3</w:t>
      </w:r>
      <w:r>
        <w:rPr>
          <w:rFonts w:hint="eastAsia"/>
        </w:rPr>
        <w:t>）就地浇筑梁、板外观质量应符合下列规定</w:t>
      </w:r>
      <w:r>
        <w:t>:</w:t>
      </w:r>
    </w:p>
    <w:p w14:paraId="778B0533">
      <w:pPr>
        <w:tabs>
          <w:tab w:val="left" w:pos="3120"/>
        </w:tabs>
        <w:spacing w:line="360" w:lineRule="auto"/>
        <w:ind w:firstLine="397"/>
      </w:pPr>
      <w:r>
        <w:t>a.</w:t>
      </w:r>
      <w:r>
        <w:rPr>
          <w:rFonts w:hint="eastAsia"/>
        </w:rPr>
        <w:t>混凝土表面不应存在《公路工程质量检验评定标准</w:t>
      </w:r>
      <w:r>
        <w:t xml:space="preserve"> </w:t>
      </w:r>
      <w:r>
        <w:rPr>
          <w:rFonts w:hint="eastAsia"/>
        </w:rPr>
        <w:t>第一册</w:t>
      </w:r>
      <w:r>
        <w:t xml:space="preserve"> </w:t>
      </w:r>
      <w:r>
        <w:rPr>
          <w:rFonts w:hint="eastAsia"/>
        </w:rPr>
        <w:t>土建工程》（</w:t>
      </w:r>
      <w:r>
        <w:t>JTG F80-1-2017</w:t>
      </w:r>
      <w:r>
        <w:rPr>
          <w:rFonts w:hint="eastAsia"/>
        </w:rPr>
        <w:t>）附录</w:t>
      </w:r>
      <w:r>
        <w:t>P</w:t>
      </w:r>
      <w:r>
        <w:rPr>
          <w:rFonts w:hint="eastAsia"/>
        </w:rPr>
        <w:t>所列限制缺陷。</w:t>
      </w:r>
    </w:p>
    <w:p w14:paraId="5552E8CE">
      <w:pPr>
        <w:tabs>
          <w:tab w:val="left" w:pos="3120"/>
        </w:tabs>
        <w:spacing w:line="360" w:lineRule="auto"/>
        <w:ind w:firstLine="397"/>
      </w:pPr>
      <w:r>
        <w:t>b.</w:t>
      </w:r>
      <w:r>
        <w:rPr>
          <w:rFonts w:hint="eastAsia"/>
        </w:rPr>
        <w:t>应无建筑垃圾、杂物和临时预埋件。</w:t>
      </w:r>
    </w:p>
    <w:p w14:paraId="337EB572">
      <w:pPr>
        <w:tabs>
          <w:tab w:val="left" w:pos="3120"/>
        </w:tabs>
        <w:spacing w:line="360" w:lineRule="auto"/>
        <w:ind w:firstLine="397"/>
      </w:pPr>
    </w:p>
    <w:p w14:paraId="05389F75">
      <w:pPr>
        <w:pStyle w:val="7"/>
        <w:rPr>
          <w:sz w:val="32"/>
        </w:rPr>
      </w:pPr>
      <w:bookmarkStart w:id="420" w:name="_Toc154675179"/>
      <w:r>
        <w:rPr>
          <w:rFonts w:hint="eastAsia"/>
          <w:sz w:val="32"/>
        </w:rPr>
        <w:t>第</w:t>
      </w:r>
      <w:r>
        <w:rPr>
          <w:sz w:val="32"/>
        </w:rPr>
        <w:t>412</w:t>
      </w:r>
      <w:r>
        <w:rPr>
          <w:rFonts w:hint="eastAsia"/>
          <w:sz w:val="32"/>
        </w:rPr>
        <w:t>节</w:t>
      </w:r>
      <w:r>
        <w:rPr>
          <w:sz w:val="32"/>
        </w:rPr>
        <w:t xml:space="preserve">  </w:t>
      </w:r>
      <w:r>
        <w:rPr>
          <w:rFonts w:hint="eastAsia"/>
          <w:sz w:val="32"/>
        </w:rPr>
        <w:t>预制构件的安装</w:t>
      </w:r>
      <w:bookmarkEnd w:id="420"/>
    </w:p>
    <w:p w14:paraId="411DCC0B">
      <w:pPr>
        <w:adjustRightInd w:val="0"/>
        <w:snapToGrid w:val="0"/>
        <w:spacing w:line="360" w:lineRule="exact"/>
        <w:rPr>
          <w:rFonts w:eastAsia="方正姚体"/>
          <w:sz w:val="32"/>
        </w:rPr>
      </w:pPr>
    </w:p>
    <w:p w14:paraId="3AA361E8">
      <w:pPr>
        <w:spacing w:line="360" w:lineRule="auto"/>
        <w:rPr>
          <w:rFonts w:eastAsia="黑体"/>
          <w:sz w:val="28"/>
          <w:szCs w:val="28"/>
        </w:rPr>
      </w:pPr>
      <w:r>
        <w:rPr>
          <w:rFonts w:eastAsia="黑体"/>
          <w:sz w:val="28"/>
          <w:szCs w:val="28"/>
        </w:rPr>
        <w:t xml:space="preserve">412.02 </w:t>
      </w:r>
      <w:r>
        <w:rPr>
          <w:rFonts w:hint="eastAsia" w:eastAsia="黑体"/>
          <w:sz w:val="28"/>
          <w:szCs w:val="28"/>
        </w:rPr>
        <w:t>一般要求</w:t>
      </w:r>
    </w:p>
    <w:p w14:paraId="7FF245D6">
      <w:pPr>
        <w:tabs>
          <w:tab w:val="left" w:pos="3120"/>
        </w:tabs>
        <w:spacing w:line="360" w:lineRule="auto"/>
        <w:ind w:firstLine="397"/>
      </w:pPr>
      <w:r>
        <w:rPr>
          <w:rFonts w:hint="eastAsia"/>
        </w:rPr>
        <w:t>第</w:t>
      </w:r>
      <w:r>
        <w:t>2</w:t>
      </w:r>
      <w:r>
        <w:rPr>
          <w:rFonts w:hint="eastAsia"/>
        </w:rPr>
        <w:t>条修改为：</w:t>
      </w:r>
    </w:p>
    <w:p w14:paraId="52C211BB">
      <w:pPr>
        <w:tabs>
          <w:tab w:val="left" w:pos="3120"/>
        </w:tabs>
        <w:spacing w:line="360" w:lineRule="auto"/>
        <w:ind w:firstLine="397"/>
      </w:pPr>
      <w:r>
        <w:t>2.</w:t>
      </w:r>
      <w:r>
        <w:rPr>
          <w:rFonts w:hint="eastAsia"/>
        </w:rPr>
        <w:t>预制构件的起吊、运输、装卸和安装时的混凝土强度应符合图纸规定，一般不低于预制构件混凝土设计等级的</w:t>
      </w:r>
      <w:r>
        <w:t>80%</w:t>
      </w:r>
      <w:r>
        <w:rPr>
          <w:rFonts w:hint="eastAsia"/>
        </w:rPr>
        <w:t>。对于预应力混凝土梁，应通过与梁相同的混凝土制成的且与梁同一条件下养护的混凝土立方体试件，表明梁的抗压强度达到图纸规定的抗压强度，且至少达到</w:t>
      </w:r>
      <w:r>
        <w:t>14d</w:t>
      </w:r>
      <w:r>
        <w:rPr>
          <w:rFonts w:hint="eastAsia"/>
        </w:rPr>
        <w:t>龄期，才能装运。预应力混凝土预制构件孔道内的水泥浆强度，应符合图纸规定。</w:t>
      </w:r>
    </w:p>
    <w:p w14:paraId="56F99FBB">
      <w:pPr>
        <w:tabs>
          <w:tab w:val="left" w:pos="3120"/>
        </w:tabs>
        <w:spacing w:line="360" w:lineRule="auto"/>
        <w:ind w:firstLine="397"/>
      </w:pPr>
      <w:r>
        <w:rPr>
          <w:rFonts w:hint="eastAsia"/>
        </w:rPr>
        <w:t>第</w:t>
      </w:r>
      <w:r>
        <w:t>9</w:t>
      </w:r>
      <w:r>
        <w:rPr>
          <w:rFonts w:hint="eastAsia"/>
        </w:rPr>
        <w:t>条后补充：</w:t>
      </w:r>
      <w:r>
        <w:t>“</w:t>
      </w:r>
      <w:r>
        <w:rPr>
          <w:rFonts w:hint="eastAsia"/>
        </w:rPr>
        <w:t>对于预制梁板的起吊，应防止开始起吊速度过快，用力过猛，造成板底真空吸力超载而引起板底裂缝。</w:t>
      </w:r>
      <w:r>
        <w:t>”</w:t>
      </w:r>
    </w:p>
    <w:p w14:paraId="2ACC4D11">
      <w:pPr>
        <w:tabs>
          <w:tab w:val="left" w:pos="3120"/>
        </w:tabs>
        <w:spacing w:line="360" w:lineRule="auto"/>
        <w:ind w:firstLine="397"/>
      </w:pPr>
      <w:r>
        <w:rPr>
          <w:rFonts w:hint="eastAsia"/>
        </w:rPr>
        <w:t>补充第</w:t>
      </w:r>
      <w:r>
        <w:t>12</w:t>
      </w:r>
      <w:r>
        <w:rPr>
          <w:rFonts w:hint="eastAsia"/>
        </w:rPr>
        <w:t>条：</w:t>
      </w:r>
    </w:p>
    <w:p w14:paraId="61D8C25E">
      <w:pPr>
        <w:tabs>
          <w:tab w:val="left" w:pos="3120"/>
        </w:tabs>
        <w:spacing w:line="360" w:lineRule="auto"/>
        <w:ind w:firstLine="397"/>
      </w:pPr>
      <w:r>
        <w:t>12</w:t>
      </w:r>
      <w:r>
        <w:rPr>
          <w:rFonts w:hint="eastAsia"/>
        </w:rPr>
        <w:t>．梁板湿接缝钢筋横向连接全部采用焊接，焊接长度不小于规范要求。</w:t>
      </w:r>
    </w:p>
    <w:p w14:paraId="71614D76">
      <w:pPr>
        <w:spacing w:line="360" w:lineRule="auto"/>
        <w:rPr>
          <w:rFonts w:eastAsia="黑体"/>
          <w:sz w:val="28"/>
          <w:szCs w:val="28"/>
        </w:rPr>
      </w:pPr>
      <w:r>
        <w:rPr>
          <w:rFonts w:eastAsia="黑体"/>
          <w:sz w:val="28"/>
          <w:szCs w:val="28"/>
        </w:rPr>
        <w:t xml:space="preserve">412.04  </w:t>
      </w:r>
      <w:r>
        <w:rPr>
          <w:rFonts w:hint="eastAsia" w:eastAsia="黑体"/>
          <w:sz w:val="28"/>
          <w:szCs w:val="28"/>
        </w:rPr>
        <w:t>先简支后连续（结构）预应力混凝土（矮）</w:t>
      </w:r>
      <w:r>
        <w:rPr>
          <w:rFonts w:eastAsia="黑体"/>
          <w:sz w:val="28"/>
          <w:szCs w:val="28"/>
        </w:rPr>
        <w:t xml:space="preserve">T </w:t>
      </w:r>
      <w:r>
        <w:rPr>
          <w:rFonts w:hint="eastAsia" w:eastAsia="黑体"/>
          <w:sz w:val="28"/>
          <w:szCs w:val="28"/>
        </w:rPr>
        <w:t>梁安装</w:t>
      </w:r>
    </w:p>
    <w:p w14:paraId="2F5B356F">
      <w:pPr>
        <w:tabs>
          <w:tab w:val="left" w:pos="3120"/>
        </w:tabs>
        <w:spacing w:line="360" w:lineRule="auto"/>
        <w:ind w:firstLine="397"/>
      </w:pPr>
      <w:r>
        <w:rPr>
          <w:rFonts w:hint="eastAsia"/>
        </w:rPr>
        <w:t>本小节修改为：</w:t>
      </w:r>
    </w:p>
    <w:p w14:paraId="310ECF45">
      <w:pPr>
        <w:tabs>
          <w:tab w:val="left" w:pos="3120"/>
        </w:tabs>
        <w:spacing w:line="360" w:lineRule="auto"/>
        <w:ind w:firstLine="397"/>
      </w:pPr>
      <w:r>
        <w:rPr>
          <w:rFonts w:hint="eastAsia"/>
        </w:rPr>
        <w:t>先简支后连续（结构）预应力混凝土（矮）</w:t>
      </w:r>
      <w:r>
        <w:t>T</w:t>
      </w:r>
      <w:r>
        <w:rPr>
          <w:rFonts w:hint="eastAsia"/>
        </w:rPr>
        <w:t>梁安装</w:t>
      </w:r>
    </w:p>
    <w:p w14:paraId="411B4AA7">
      <w:pPr>
        <w:tabs>
          <w:tab w:val="left" w:pos="3120"/>
        </w:tabs>
        <w:spacing w:line="360" w:lineRule="auto"/>
        <w:ind w:firstLine="397"/>
      </w:pPr>
      <w:r>
        <w:t>1</w:t>
      </w:r>
      <w:r>
        <w:rPr>
          <w:rFonts w:hint="eastAsia"/>
        </w:rPr>
        <w:t>．承包人应充分认清先简支后连续结构的特点，即：</w:t>
      </w:r>
    </w:p>
    <w:p w14:paraId="502D1DF0">
      <w:pPr>
        <w:tabs>
          <w:tab w:val="left" w:pos="3120"/>
        </w:tabs>
        <w:spacing w:line="360" w:lineRule="auto"/>
        <w:ind w:firstLine="397"/>
      </w:pPr>
      <w:r>
        <w:rPr>
          <w:rFonts w:hint="eastAsia"/>
        </w:rPr>
        <w:t>（</w:t>
      </w:r>
      <w:r>
        <w:t>1</w:t>
      </w:r>
      <w:r>
        <w:rPr>
          <w:rFonts w:hint="eastAsia"/>
        </w:rPr>
        <w:t>）结构由预制</w:t>
      </w:r>
      <w:r>
        <w:t>T</w:t>
      </w:r>
      <w:r>
        <w:rPr>
          <w:rFonts w:hint="eastAsia"/>
        </w:rPr>
        <w:t>梁与现浇段共同组成，先预制安装，后现浇连续；</w:t>
      </w:r>
    </w:p>
    <w:p w14:paraId="679F9371">
      <w:pPr>
        <w:tabs>
          <w:tab w:val="left" w:pos="3120"/>
        </w:tabs>
        <w:spacing w:line="360" w:lineRule="auto"/>
        <w:ind w:firstLine="397"/>
      </w:pPr>
      <w:r>
        <w:rPr>
          <w:rFonts w:hint="eastAsia"/>
        </w:rPr>
        <w:t>（</w:t>
      </w:r>
      <w:r>
        <w:t>2</w:t>
      </w:r>
      <w:r>
        <w:rPr>
          <w:rFonts w:hint="eastAsia"/>
        </w:rPr>
        <w:t>）结构在施工中，存在由双排临时支座（简支）变成单排或双排永久支座（连续）的体系转换过程；</w:t>
      </w:r>
    </w:p>
    <w:p w14:paraId="3CD47B65">
      <w:pPr>
        <w:tabs>
          <w:tab w:val="left" w:pos="3120"/>
        </w:tabs>
        <w:spacing w:line="360" w:lineRule="auto"/>
        <w:ind w:firstLine="397"/>
      </w:pPr>
      <w:r>
        <w:rPr>
          <w:rFonts w:hint="eastAsia"/>
        </w:rPr>
        <w:t>（</w:t>
      </w:r>
      <w:r>
        <w:t>3</w:t>
      </w:r>
      <w:r>
        <w:rPr>
          <w:rFonts w:hint="eastAsia"/>
        </w:rPr>
        <w:t>）结构在体系转换后，在恒载与活载作用下，受力特征为连续梁。</w:t>
      </w:r>
    </w:p>
    <w:p w14:paraId="7ECC7B1C">
      <w:pPr>
        <w:tabs>
          <w:tab w:val="left" w:pos="3120"/>
        </w:tabs>
        <w:spacing w:line="360" w:lineRule="auto"/>
        <w:ind w:firstLine="397"/>
      </w:pPr>
      <w:r>
        <w:t>2</w:t>
      </w:r>
      <w:r>
        <w:rPr>
          <w:rFonts w:hint="eastAsia"/>
        </w:rPr>
        <w:t>．承包人在认清结构特点的基础上，应仔细阅读先简支后连续结构的设计图纸，制订确保结构连续的施工工艺，报监理人批准后认真实施。</w:t>
      </w:r>
    </w:p>
    <w:p w14:paraId="4456D8B0">
      <w:pPr>
        <w:tabs>
          <w:tab w:val="left" w:pos="3120"/>
        </w:tabs>
        <w:spacing w:line="360" w:lineRule="auto"/>
        <w:ind w:firstLine="397"/>
      </w:pPr>
      <w:r>
        <w:t>3</w:t>
      </w:r>
      <w:r>
        <w:rPr>
          <w:rFonts w:hint="eastAsia"/>
        </w:rPr>
        <w:t>．除了本条规定的要求外，未涉及部分仍按本规范有关的施工要求进行。</w:t>
      </w:r>
    </w:p>
    <w:p w14:paraId="12D5EF66">
      <w:pPr>
        <w:tabs>
          <w:tab w:val="left" w:pos="3120"/>
        </w:tabs>
        <w:spacing w:line="360" w:lineRule="auto"/>
        <w:ind w:firstLine="397"/>
      </w:pPr>
      <w:r>
        <w:t>4</w:t>
      </w:r>
      <w:r>
        <w:rPr>
          <w:rFonts w:hint="eastAsia"/>
        </w:rPr>
        <w:t>．预制</w:t>
      </w:r>
      <w:r>
        <w:t>T</w:t>
      </w:r>
      <w:r>
        <w:rPr>
          <w:rFonts w:hint="eastAsia"/>
        </w:rPr>
        <w:t>梁时应注意：</w:t>
      </w:r>
    </w:p>
    <w:p w14:paraId="75CA9A72">
      <w:pPr>
        <w:tabs>
          <w:tab w:val="left" w:pos="3120"/>
        </w:tabs>
        <w:spacing w:line="360" w:lineRule="auto"/>
        <w:ind w:firstLine="397"/>
      </w:pPr>
      <w:r>
        <w:rPr>
          <w:rFonts w:hint="eastAsia"/>
        </w:rPr>
        <w:t>（</w:t>
      </w:r>
      <w:r>
        <w:t>1</w:t>
      </w:r>
      <w:r>
        <w:rPr>
          <w:rFonts w:hint="eastAsia"/>
        </w:rPr>
        <w:t>）预制场应具有一定长度（</w:t>
      </w:r>
      <w:r>
        <w:t>80</w:t>
      </w:r>
      <w:r>
        <w:rPr>
          <w:rFonts w:hint="eastAsia"/>
        </w:rPr>
        <w:t>～</w:t>
      </w:r>
      <w:r>
        <w:t>100m</w:t>
      </w:r>
      <w:r>
        <w:rPr>
          <w:rFonts w:hint="eastAsia"/>
        </w:rPr>
        <w:t>），台座底板纵、横向应定位正确互相对齐，标高一致，以确保相邻段端部的各种尺寸相吻合；</w:t>
      </w:r>
    </w:p>
    <w:p w14:paraId="68F53417">
      <w:pPr>
        <w:tabs>
          <w:tab w:val="left" w:pos="3120"/>
        </w:tabs>
        <w:spacing w:line="360" w:lineRule="auto"/>
        <w:ind w:firstLine="397"/>
      </w:pPr>
      <w:r>
        <w:rPr>
          <w:rFonts w:hint="eastAsia"/>
        </w:rPr>
        <w:t>（</w:t>
      </w:r>
      <w:r>
        <w:t>2</w:t>
      </w:r>
      <w:r>
        <w:rPr>
          <w:rFonts w:hint="eastAsia"/>
        </w:rPr>
        <w:t>）斜桥梁板端部应按设计要求在平面上做成台阶状，并与张拉轴线垂直，以免张拉连续段预应力时结合面错动；</w:t>
      </w:r>
    </w:p>
    <w:p w14:paraId="72AA256E">
      <w:pPr>
        <w:tabs>
          <w:tab w:val="left" w:pos="3120"/>
        </w:tabs>
        <w:spacing w:line="360" w:lineRule="auto"/>
        <w:ind w:firstLine="397"/>
      </w:pPr>
      <w:r>
        <w:rPr>
          <w:rFonts w:hint="eastAsia"/>
        </w:rPr>
        <w:t>（</w:t>
      </w:r>
      <w:r>
        <w:t>3</w:t>
      </w:r>
      <w:r>
        <w:rPr>
          <w:rFonts w:hint="eastAsia"/>
        </w:rPr>
        <w:t>）非连续端的梁端封锚混凝土可先浇筑，连续端封锚混凝土应与墩顶现浇段一起浇筑；</w:t>
      </w:r>
    </w:p>
    <w:p w14:paraId="68853878">
      <w:pPr>
        <w:tabs>
          <w:tab w:val="left" w:pos="3120"/>
        </w:tabs>
        <w:spacing w:line="360" w:lineRule="auto"/>
        <w:ind w:firstLine="397"/>
      </w:pPr>
      <w:r>
        <w:rPr>
          <w:rFonts w:hint="eastAsia"/>
        </w:rPr>
        <w:t>（</w:t>
      </w:r>
      <w:r>
        <w:t>4</w:t>
      </w:r>
      <w:r>
        <w:rPr>
          <w:rFonts w:hint="eastAsia"/>
        </w:rPr>
        <w:t>）梁端模宜采用钢模，以确保连续端纵向连接钢筋定位精确，便于连接处纵向连接筋对齐焊接；</w:t>
      </w:r>
    </w:p>
    <w:p w14:paraId="0AC94170">
      <w:pPr>
        <w:tabs>
          <w:tab w:val="left" w:pos="3120"/>
        </w:tabs>
        <w:spacing w:line="360" w:lineRule="auto"/>
        <w:ind w:firstLine="397"/>
      </w:pPr>
      <w:r>
        <w:rPr>
          <w:rFonts w:hint="eastAsia"/>
        </w:rPr>
        <w:t>（</w:t>
      </w:r>
      <w:r>
        <w:t>5</w:t>
      </w:r>
      <w:r>
        <w:rPr>
          <w:rFonts w:hint="eastAsia"/>
        </w:rPr>
        <w:t>）预制梁板出坑前，应用墨线标出梁中线及临时支座定位线，以利安装就位。</w:t>
      </w:r>
    </w:p>
    <w:p w14:paraId="273C54F8">
      <w:pPr>
        <w:tabs>
          <w:tab w:val="left" w:pos="3120"/>
        </w:tabs>
        <w:spacing w:line="360" w:lineRule="auto"/>
        <w:ind w:firstLine="397"/>
      </w:pPr>
      <w:r>
        <w:t>5</w:t>
      </w:r>
      <w:r>
        <w:rPr>
          <w:rFonts w:hint="eastAsia"/>
        </w:rPr>
        <w:t>．安装时应注意：</w:t>
      </w:r>
    </w:p>
    <w:p w14:paraId="30B7C4AD">
      <w:pPr>
        <w:tabs>
          <w:tab w:val="left" w:pos="3120"/>
        </w:tabs>
        <w:spacing w:line="360" w:lineRule="auto"/>
        <w:ind w:firstLine="397"/>
      </w:pPr>
      <w:r>
        <w:rPr>
          <w:rFonts w:hint="eastAsia"/>
        </w:rPr>
        <w:t>（</w:t>
      </w:r>
      <w:r>
        <w:t>1</w:t>
      </w:r>
      <w:r>
        <w:rPr>
          <w:rFonts w:hint="eastAsia"/>
        </w:rPr>
        <w:t>）临时支座应有足够的强度、刚度，装拆方便，落梁均匀。应用硫磺砂浆制成（硫磺砂浆内埋入电热丝）或其它可靠的施工方法；</w:t>
      </w:r>
    </w:p>
    <w:p w14:paraId="019F14F9">
      <w:pPr>
        <w:tabs>
          <w:tab w:val="left" w:pos="3120"/>
        </w:tabs>
        <w:spacing w:line="360" w:lineRule="auto"/>
        <w:ind w:firstLine="397"/>
      </w:pPr>
      <w:r>
        <w:rPr>
          <w:rFonts w:hint="eastAsia"/>
        </w:rPr>
        <w:t>（</w:t>
      </w:r>
      <w:r>
        <w:t>2</w:t>
      </w:r>
      <w:r>
        <w:rPr>
          <w:rFonts w:hint="eastAsia"/>
        </w:rPr>
        <w:t>）中墩处应正确标出临时支座和永久支座的位置，支座定位正确。并按图纸要求及本规范第</w:t>
      </w:r>
      <w:r>
        <w:t>416</w:t>
      </w:r>
      <w:r>
        <w:rPr>
          <w:rFonts w:hint="eastAsia"/>
        </w:rPr>
        <w:t>节有关规定安装支座；</w:t>
      </w:r>
    </w:p>
    <w:p w14:paraId="62E21E10">
      <w:pPr>
        <w:tabs>
          <w:tab w:val="left" w:pos="3120"/>
        </w:tabs>
        <w:spacing w:line="360" w:lineRule="auto"/>
        <w:ind w:firstLine="397"/>
      </w:pPr>
      <w:r>
        <w:rPr>
          <w:rFonts w:hint="eastAsia"/>
        </w:rPr>
        <w:t>（</w:t>
      </w:r>
      <w:r>
        <w:t>3</w:t>
      </w:r>
      <w:r>
        <w:rPr>
          <w:rFonts w:hint="eastAsia"/>
        </w:rPr>
        <w:t>）严格按标线控制落梁位置，左右偏差不超过</w:t>
      </w:r>
      <w:r>
        <w:t>2mm</w:t>
      </w:r>
      <w:r>
        <w:rPr>
          <w:rFonts w:hint="eastAsia"/>
        </w:rPr>
        <w:t>。</w:t>
      </w:r>
    </w:p>
    <w:p w14:paraId="1AA21FE2">
      <w:pPr>
        <w:tabs>
          <w:tab w:val="left" w:pos="3120"/>
        </w:tabs>
        <w:spacing w:line="360" w:lineRule="auto"/>
        <w:ind w:firstLine="397"/>
      </w:pPr>
      <w:r>
        <w:rPr>
          <w:rFonts w:hint="eastAsia"/>
        </w:rPr>
        <w:t>（</w:t>
      </w:r>
      <w:r>
        <w:t>4</w:t>
      </w:r>
      <w:r>
        <w:rPr>
          <w:rFonts w:hint="eastAsia"/>
        </w:rPr>
        <w:t>）承包人在梁板安装前，应制订切实可行的梁板安装施工方案，报监理人批准后认真实施，承包人在架设弯道、小半径等复杂路段的梁板时，应充分考虑架桥设备的适用性，必要时应对架桥设备进行改造功能提升，以确保梁板安装的安全、质量，承包人所采取的措施以及因此增加的费用视作已包括在</w:t>
      </w:r>
      <w:r>
        <w:rPr>
          <w:rFonts w:hint="eastAsia"/>
          <w:lang w:eastAsia="zh-CN"/>
        </w:rPr>
        <w:t>竞包</w:t>
      </w:r>
      <w:r>
        <w:rPr>
          <w:rFonts w:hint="eastAsia"/>
        </w:rPr>
        <w:t>价之中，发包人不另行支付。</w:t>
      </w:r>
    </w:p>
    <w:p w14:paraId="4BEFA00F">
      <w:pPr>
        <w:tabs>
          <w:tab w:val="left" w:pos="3120"/>
        </w:tabs>
        <w:spacing w:line="360" w:lineRule="auto"/>
        <w:ind w:firstLine="397"/>
      </w:pPr>
      <w:r>
        <w:t>6</w:t>
      </w:r>
      <w:r>
        <w:rPr>
          <w:rFonts w:hint="eastAsia"/>
        </w:rPr>
        <w:t>．墩顶现浇段：</w:t>
      </w:r>
    </w:p>
    <w:p w14:paraId="566CB7C5">
      <w:pPr>
        <w:tabs>
          <w:tab w:val="left" w:pos="3120"/>
        </w:tabs>
        <w:spacing w:line="360" w:lineRule="auto"/>
        <w:ind w:firstLine="397"/>
      </w:pPr>
      <w:r>
        <w:rPr>
          <w:rFonts w:hint="eastAsia"/>
        </w:rPr>
        <w:t>（</w:t>
      </w:r>
      <w:r>
        <w:t>1</w:t>
      </w:r>
      <w:r>
        <w:rPr>
          <w:rFonts w:hint="eastAsia"/>
        </w:rPr>
        <w:t>）永久支座与底模间的缝隙应密合，并采取措施严防漏浆；</w:t>
      </w:r>
    </w:p>
    <w:p w14:paraId="48847DBB">
      <w:pPr>
        <w:tabs>
          <w:tab w:val="left" w:pos="3120"/>
        </w:tabs>
        <w:spacing w:line="360" w:lineRule="auto"/>
        <w:ind w:firstLine="397"/>
      </w:pPr>
      <w:r>
        <w:rPr>
          <w:rFonts w:hint="eastAsia"/>
        </w:rPr>
        <w:t>（</w:t>
      </w:r>
      <w:r>
        <w:t>2</w:t>
      </w:r>
      <w:r>
        <w:rPr>
          <w:rFonts w:hint="eastAsia"/>
        </w:rPr>
        <w:t>）现浇段预应力束道应与预制梁板的对应束道顺接，并确保连接可靠，不漏浆；</w:t>
      </w:r>
    </w:p>
    <w:p w14:paraId="5FABD24F">
      <w:pPr>
        <w:tabs>
          <w:tab w:val="left" w:pos="3120"/>
        </w:tabs>
        <w:spacing w:line="360" w:lineRule="auto"/>
        <w:ind w:firstLine="397"/>
      </w:pPr>
      <w:r>
        <w:rPr>
          <w:rFonts w:hint="eastAsia"/>
        </w:rPr>
        <w:t>（</w:t>
      </w:r>
      <w:r>
        <w:t>3</w:t>
      </w:r>
      <w:r>
        <w:rPr>
          <w:rFonts w:hint="eastAsia"/>
        </w:rPr>
        <w:t>）两梁端部伸出的预留纵向钢筋，应按设计和规范要求彼此焊接或采用套筒压接；</w:t>
      </w:r>
    </w:p>
    <w:p w14:paraId="78D47472">
      <w:pPr>
        <w:tabs>
          <w:tab w:val="left" w:pos="3120"/>
        </w:tabs>
        <w:spacing w:line="360" w:lineRule="auto"/>
        <w:ind w:firstLine="397"/>
      </w:pPr>
      <w:r>
        <w:rPr>
          <w:rFonts w:hint="eastAsia"/>
        </w:rPr>
        <w:t>（</w:t>
      </w:r>
      <w:r>
        <w:t>4</w:t>
      </w:r>
      <w:r>
        <w:rPr>
          <w:rFonts w:hint="eastAsia"/>
        </w:rPr>
        <w:t>）对连续孔数大于</w:t>
      </w:r>
      <w:r>
        <w:t>3</w:t>
      </w:r>
      <w:r>
        <w:rPr>
          <w:rFonts w:hint="eastAsia"/>
        </w:rPr>
        <w:t>孔的桥梁应先浇中间墩顶混凝土，而后对称浇筑两侧墩顶混凝土；</w:t>
      </w:r>
    </w:p>
    <w:p w14:paraId="7103EDA2">
      <w:pPr>
        <w:tabs>
          <w:tab w:val="left" w:pos="3120"/>
        </w:tabs>
        <w:spacing w:line="360" w:lineRule="auto"/>
        <w:ind w:firstLine="397"/>
      </w:pPr>
      <w:r>
        <w:rPr>
          <w:rFonts w:hint="eastAsia"/>
        </w:rPr>
        <w:t>（</w:t>
      </w:r>
      <w:r>
        <w:t>5</w:t>
      </w:r>
      <w:r>
        <w:rPr>
          <w:rFonts w:hint="eastAsia"/>
        </w:rPr>
        <w:t>）现浇段处纵向连接钢筋的焊接宜左右、上下对称进行，以免焊接温度引起梁板端部变位；</w:t>
      </w:r>
    </w:p>
    <w:p w14:paraId="4A437C37">
      <w:pPr>
        <w:tabs>
          <w:tab w:val="left" w:pos="3120"/>
        </w:tabs>
        <w:spacing w:line="360" w:lineRule="auto"/>
        <w:ind w:firstLine="397"/>
      </w:pPr>
      <w:r>
        <w:rPr>
          <w:rFonts w:hint="eastAsia"/>
        </w:rPr>
        <w:t>（</w:t>
      </w:r>
      <w:r>
        <w:t>6</w:t>
      </w:r>
      <w:r>
        <w:rPr>
          <w:rFonts w:hint="eastAsia"/>
        </w:rPr>
        <w:t>）现浇段混凝土石子粒径不大于</w:t>
      </w:r>
      <w:r>
        <w:t>20mm</w:t>
      </w:r>
      <w:r>
        <w:rPr>
          <w:rFonts w:hint="eastAsia"/>
        </w:rPr>
        <w:t>，混凝土强度宜比预制梁板高</w:t>
      </w:r>
      <w:r>
        <w:t>5MPa</w:t>
      </w:r>
      <w:r>
        <w:rPr>
          <w:rFonts w:hint="eastAsia"/>
        </w:rPr>
        <w:t>，混凝土应按设计和规范规定掺高效减水剂和补偿收缩剂。</w:t>
      </w:r>
    </w:p>
    <w:p w14:paraId="5F563E1A">
      <w:pPr>
        <w:tabs>
          <w:tab w:val="left" w:pos="3120"/>
        </w:tabs>
        <w:spacing w:line="360" w:lineRule="auto"/>
        <w:ind w:firstLine="397"/>
      </w:pPr>
      <w:r>
        <w:t>7</w:t>
      </w:r>
      <w:r>
        <w:rPr>
          <w:rFonts w:hint="eastAsia"/>
        </w:rPr>
        <w:t>．连续预应力束张拉：墩顶现浇段的混凝土强度达到设计要求后，经监理人同意，张拉墩顶负弯矩区预应力束，张拉应对称分级。</w:t>
      </w:r>
    </w:p>
    <w:p w14:paraId="414FCD0B">
      <w:pPr>
        <w:tabs>
          <w:tab w:val="left" w:pos="3120"/>
        </w:tabs>
        <w:spacing w:line="360" w:lineRule="auto"/>
        <w:ind w:firstLine="397"/>
      </w:pPr>
      <w:r>
        <w:t>8</w:t>
      </w:r>
      <w:r>
        <w:rPr>
          <w:rFonts w:hint="eastAsia"/>
        </w:rPr>
        <w:t>．体系转换：</w:t>
      </w:r>
    </w:p>
    <w:p w14:paraId="506E875C">
      <w:pPr>
        <w:tabs>
          <w:tab w:val="left" w:pos="3120"/>
        </w:tabs>
        <w:spacing w:line="360" w:lineRule="auto"/>
        <w:ind w:firstLine="397"/>
      </w:pPr>
      <w:r>
        <w:rPr>
          <w:rFonts w:hint="eastAsia"/>
        </w:rPr>
        <w:t>（</w:t>
      </w:r>
      <w:r>
        <w:t>1</w:t>
      </w:r>
      <w:r>
        <w:rPr>
          <w:rFonts w:hint="eastAsia"/>
        </w:rPr>
        <w:t>）张拉结束并压浆后，待浆液强度大于</w:t>
      </w:r>
      <w:r>
        <w:t>40MPa</w:t>
      </w:r>
      <w:r>
        <w:rPr>
          <w:rFonts w:hint="eastAsia"/>
        </w:rPr>
        <w:t>时，方可解除临时支座；</w:t>
      </w:r>
    </w:p>
    <w:p w14:paraId="4E879A79">
      <w:pPr>
        <w:tabs>
          <w:tab w:val="left" w:pos="3120"/>
        </w:tabs>
        <w:spacing w:line="360" w:lineRule="auto"/>
        <w:ind w:firstLine="397"/>
      </w:pPr>
      <w:r>
        <w:rPr>
          <w:rFonts w:hint="eastAsia"/>
        </w:rPr>
        <w:t>（</w:t>
      </w:r>
      <w:r>
        <w:t>2</w:t>
      </w:r>
      <w:r>
        <w:rPr>
          <w:rFonts w:hint="eastAsia"/>
        </w:rPr>
        <w:t>）采用电热法解除每根梁下部临时支座，完成体系转换。操作时，应做到逐孔对称、均匀、同步、平稳；体系转换后，永久支座与墩顶密贴，符合设计要求。</w:t>
      </w:r>
    </w:p>
    <w:p w14:paraId="229D4B73">
      <w:pPr>
        <w:tabs>
          <w:tab w:val="left" w:pos="3120"/>
        </w:tabs>
        <w:spacing w:line="360" w:lineRule="auto"/>
        <w:ind w:firstLine="397"/>
      </w:pPr>
      <w:r>
        <w:t>9</w:t>
      </w:r>
      <w:r>
        <w:rPr>
          <w:rFonts w:hint="eastAsia"/>
        </w:rPr>
        <w:t>．先简支后连续的工艺流程为：</w:t>
      </w:r>
    </w:p>
    <w:p w14:paraId="3AD81CEF">
      <w:pPr>
        <w:tabs>
          <w:tab w:val="left" w:pos="3120"/>
        </w:tabs>
        <w:spacing w:line="360" w:lineRule="auto"/>
        <w:ind w:firstLine="397"/>
      </w:pPr>
      <w:r>
        <w:rPr>
          <w:rFonts w:hint="eastAsia"/>
        </w:rPr>
        <w:t>安装墩顶临时支座→安装墩顶永久支座及底模→安装梁板→安装墩顶连续预应力束塑料波纹管→按设计要求连接纵向钢筋和绑扎构造钢筋→立侧模→浇筑现浇段混凝土（掺高效减水剂和补偿收缩剂）→养生至混凝土达到</w:t>
      </w:r>
      <w:r>
        <w:t>100</w:t>
      </w:r>
      <w:r>
        <w:rPr>
          <w:rFonts w:hint="eastAsia"/>
        </w:rPr>
        <w:t>％设计强度→张拉墩顶预应力连续束→压浆→解除临时支座→进行梁板的横向连接→铺设桥面钢筋网（钢筋网纵向钢筋应连续通过现浇段）→浇筑桥面混凝土→铺筑沥青混凝土。</w:t>
      </w:r>
    </w:p>
    <w:p w14:paraId="2CAECCDA">
      <w:pPr>
        <w:tabs>
          <w:tab w:val="left" w:pos="3120"/>
        </w:tabs>
        <w:spacing w:line="360" w:lineRule="auto"/>
        <w:ind w:firstLine="397"/>
      </w:pPr>
    </w:p>
    <w:p w14:paraId="574FD7F6">
      <w:pPr>
        <w:pStyle w:val="7"/>
        <w:rPr>
          <w:sz w:val="32"/>
        </w:rPr>
      </w:pPr>
      <w:bookmarkStart w:id="421" w:name="_Toc154675180"/>
      <w:r>
        <w:rPr>
          <w:rFonts w:hint="eastAsia"/>
          <w:sz w:val="32"/>
        </w:rPr>
        <w:t>第</w:t>
      </w:r>
      <w:r>
        <w:rPr>
          <w:sz w:val="32"/>
        </w:rPr>
        <w:t>415</w:t>
      </w:r>
      <w:r>
        <w:rPr>
          <w:rFonts w:hint="eastAsia"/>
          <w:sz w:val="32"/>
        </w:rPr>
        <w:t>节</w:t>
      </w:r>
      <w:r>
        <w:rPr>
          <w:sz w:val="32"/>
        </w:rPr>
        <w:t xml:space="preserve">  </w:t>
      </w:r>
      <w:r>
        <w:rPr>
          <w:rFonts w:hint="eastAsia"/>
          <w:sz w:val="32"/>
        </w:rPr>
        <w:t>桥面铺装</w:t>
      </w:r>
      <w:bookmarkEnd w:id="421"/>
    </w:p>
    <w:p w14:paraId="36867624">
      <w:pPr>
        <w:spacing w:line="360" w:lineRule="exact"/>
        <w:jc w:val="center"/>
        <w:rPr>
          <w:rFonts w:eastAsia="方正姚体"/>
          <w:sz w:val="44"/>
        </w:rPr>
      </w:pPr>
    </w:p>
    <w:p w14:paraId="360647A3">
      <w:pPr>
        <w:spacing w:line="360" w:lineRule="auto"/>
        <w:rPr>
          <w:rFonts w:eastAsia="黑体"/>
          <w:sz w:val="28"/>
          <w:szCs w:val="28"/>
        </w:rPr>
      </w:pPr>
      <w:r>
        <w:rPr>
          <w:rFonts w:eastAsia="黑体"/>
          <w:sz w:val="28"/>
          <w:szCs w:val="28"/>
        </w:rPr>
        <w:t xml:space="preserve">415.03  </w:t>
      </w:r>
      <w:r>
        <w:rPr>
          <w:rFonts w:hint="eastAsia" w:eastAsia="黑体"/>
          <w:sz w:val="28"/>
          <w:szCs w:val="28"/>
        </w:rPr>
        <w:t>施工要求</w:t>
      </w:r>
    </w:p>
    <w:p w14:paraId="7AF37141">
      <w:pPr>
        <w:tabs>
          <w:tab w:val="left" w:pos="3120"/>
        </w:tabs>
        <w:spacing w:line="360" w:lineRule="auto"/>
        <w:ind w:firstLine="397"/>
      </w:pPr>
      <w:r>
        <w:t>1</w:t>
      </w:r>
      <w:r>
        <w:rPr>
          <w:rFonts w:hint="eastAsia"/>
        </w:rPr>
        <w:t>．一般要求</w:t>
      </w:r>
    </w:p>
    <w:p w14:paraId="0B986CF9">
      <w:pPr>
        <w:tabs>
          <w:tab w:val="left" w:pos="3120"/>
        </w:tabs>
        <w:spacing w:line="360" w:lineRule="auto"/>
        <w:ind w:firstLine="397"/>
      </w:pPr>
      <w:r>
        <w:rPr>
          <w:rFonts w:hint="eastAsia"/>
        </w:rPr>
        <w:t>第（</w:t>
      </w:r>
      <w:r>
        <w:t>6</w:t>
      </w:r>
      <w:r>
        <w:rPr>
          <w:rFonts w:hint="eastAsia"/>
        </w:rPr>
        <w:t>）款修改为：</w:t>
      </w:r>
    </w:p>
    <w:p w14:paraId="75DD17E1">
      <w:pPr>
        <w:tabs>
          <w:tab w:val="left" w:pos="3120"/>
        </w:tabs>
        <w:spacing w:line="360" w:lineRule="auto"/>
        <w:ind w:firstLine="397"/>
      </w:pPr>
      <w:r>
        <w:rPr>
          <w:rFonts w:hint="eastAsia"/>
        </w:rPr>
        <w:t>（</w:t>
      </w:r>
      <w:r>
        <w:t>6</w:t>
      </w:r>
      <w:r>
        <w:rPr>
          <w:rFonts w:hint="eastAsia"/>
        </w:rPr>
        <w:t>）桥面铺装应在两道伸缩缝间全宽全长上同时进行，同一连续段桥面尽可能不设纵和横向施工缝；铺装钢筋的高度应严格按设计要求定位，特别是设置高程控制模板和振捣梁导轨时，不得将钢筋下压。具体施工方案和控制方法应切实可行</w:t>
      </w:r>
      <w:r>
        <w:t>,</w:t>
      </w:r>
      <w:r>
        <w:rPr>
          <w:rFonts w:hint="eastAsia"/>
        </w:rPr>
        <w:t>并得到监理人的批准。</w:t>
      </w:r>
    </w:p>
    <w:p w14:paraId="4FADAE12">
      <w:pPr>
        <w:tabs>
          <w:tab w:val="left" w:pos="3120"/>
        </w:tabs>
        <w:spacing w:line="360" w:lineRule="auto"/>
        <w:ind w:firstLine="397"/>
      </w:pPr>
      <w:r>
        <w:rPr>
          <w:rFonts w:hint="eastAsia"/>
        </w:rPr>
        <w:t>补充第（</w:t>
      </w:r>
      <w:r>
        <w:t>7</w:t>
      </w:r>
      <w:r>
        <w:rPr>
          <w:rFonts w:hint="eastAsia"/>
        </w:rPr>
        <w:t>）款：</w:t>
      </w:r>
    </w:p>
    <w:p w14:paraId="6FC1DEB4">
      <w:pPr>
        <w:tabs>
          <w:tab w:val="left" w:pos="3120"/>
        </w:tabs>
        <w:spacing w:line="360" w:lineRule="auto"/>
        <w:ind w:firstLine="397"/>
      </w:pPr>
      <w:r>
        <w:rPr>
          <w:rFonts w:hint="eastAsia"/>
        </w:rPr>
        <w:t>（</w:t>
      </w:r>
      <w:r>
        <w:t>7</w:t>
      </w:r>
      <w:r>
        <w:rPr>
          <w:rFonts w:hint="eastAsia"/>
        </w:rPr>
        <w:t>）采用抛丸或铣刨等方式对水泥混凝土铺装进行处理，清除浮浆，提供一个干燥洁净的表面。防水粘结层采用改性乳化沥青，用量</w:t>
      </w:r>
      <w:r>
        <w:t>0.3-0.5kg/</w:t>
      </w:r>
      <w:r>
        <w:rPr>
          <w:rFonts w:hint="eastAsia"/>
        </w:rPr>
        <w:t>㎡（沥青净含量），采用智能型沥青洒布车洒布。</w:t>
      </w:r>
    </w:p>
    <w:p w14:paraId="135B8BA9">
      <w:pPr>
        <w:tabs>
          <w:tab w:val="left" w:pos="3120"/>
        </w:tabs>
        <w:spacing w:line="360" w:lineRule="auto"/>
        <w:ind w:firstLine="397"/>
      </w:pPr>
    </w:p>
    <w:p w14:paraId="1C63F1BB">
      <w:pPr>
        <w:pStyle w:val="7"/>
        <w:rPr>
          <w:sz w:val="32"/>
        </w:rPr>
      </w:pPr>
      <w:bookmarkStart w:id="422" w:name="_Toc154675181"/>
      <w:r>
        <w:rPr>
          <w:rFonts w:hint="eastAsia"/>
          <w:sz w:val="32"/>
        </w:rPr>
        <w:t>第</w:t>
      </w:r>
      <w:r>
        <w:rPr>
          <w:sz w:val="32"/>
        </w:rPr>
        <w:t>416</w:t>
      </w:r>
      <w:r>
        <w:rPr>
          <w:rFonts w:hint="eastAsia"/>
          <w:sz w:val="32"/>
        </w:rPr>
        <w:t>节</w:t>
      </w:r>
      <w:r>
        <w:rPr>
          <w:sz w:val="32"/>
        </w:rPr>
        <w:t xml:space="preserve">  </w:t>
      </w:r>
      <w:r>
        <w:rPr>
          <w:rFonts w:hint="eastAsia"/>
          <w:sz w:val="32"/>
        </w:rPr>
        <w:t>桥梁支座</w:t>
      </w:r>
      <w:bookmarkEnd w:id="422"/>
    </w:p>
    <w:p w14:paraId="3D05C55A">
      <w:pPr>
        <w:spacing w:line="360" w:lineRule="auto"/>
        <w:rPr>
          <w:rFonts w:eastAsia="黑体"/>
          <w:sz w:val="28"/>
          <w:szCs w:val="28"/>
        </w:rPr>
      </w:pPr>
      <w:r>
        <w:rPr>
          <w:rFonts w:eastAsia="黑体"/>
          <w:sz w:val="28"/>
          <w:szCs w:val="28"/>
        </w:rPr>
        <w:t xml:space="preserve">416.02 </w:t>
      </w:r>
      <w:r>
        <w:rPr>
          <w:rFonts w:hint="eastAsia" w:eastAsia="黑体"/>
          <w:sz w:val="28"/>
          <w:szCs w:val="28"/>
        </w:rPr>
        <w:t>一般要求</w:t>
      </w:r>
    </w:p>
    <w:p w14:paraId="0C312860">
      <w:pPr>
        <w:tabs>
          <w:tab w:val="left" w:pos="3120"/>
        </w:tabs>
        <w:spacing w:line="360" w:lineRule="auto"/>
        <w:ind w:firstLine="397"/>
      </w:pPr>
      <w:r>
        <w:rPr>
          <w:rFonts w:hint="eastAsia"/>
        </w:rPr>
        <w:t>删除第</w:t>
      </w:r>
      <w:r>
        <w:t>1</w:t>
      </w:r>
      <w:r>
        <w:rPr>
          <w:rFonts w:hint="eastAsia"/>
        </w:rPr>
        <w:t>条原内容，修改为：</w:t>
      </w:r>
    </w:p>
    <w:p w14:paraId="625F332F">
      <w:pPr>
        <w:tabs>
          <w:tab w:val="left" w:pos="3120"/>
        </w:tabs>
        <w:spacing w:line="360" w:lineRule="auto"/>
        <w:ind w:firstLine="397"/>
      </w:pPr>
      <w:r>
        <w:t>1</w:t>
      </w:r>
      <w:r>
        <w:rPr>
          <w:rFonts w:hint="eastAsia"/>
        </w:rPr>
        <w:t>．桥梁支座应符合《公路桥梁板式橡胶支座》（</w:t>
      </w:r>
      <w:r>
        <w:t>JT/T4-2019</w:t>
      </w:r>
      <w:r>
        <w:rPr>
          <w:rFonts w:hint="eastAsia"/>
        </w:rPr>
        <w:t>）、《公路桥梁盆式支座》（</w:t>
      </w:r>
      <w:r>
        <w:t>JT/T391-2019</w:t>
      </w:r>
      <w:r>
        <w:rPr>
          <w:rFonts w:hint="eastAsia"/>
        </w:rPr>
        <w:t>）、《桥梁球型支座》（</w:t>
      </w:r>
      <w:r>
        <w:t>GB/T17955-2009</w:t>
      </w:r>
      <w:r>
        <w:rPr>
          <w:rFonts w:hint="eastAsia"/>
        </w:rPr>
        <w:t>）标准的要求及图纸要求的有关规定。</w:t>
      </w:r>
    </w:p>
    <w:p w14:paraId="1484F399">
      <w:pPr>
        <w:tabs>
          <w:tab w:val="left" w:pos="3120"/>
        </w:tabs>
        <w:spacing w:line="360" w:lineRule="auto"/>
        <w:ind w:firstLine="397"/>
      </w:pPr>
      <w:r>
        <w:rPr>
          <w:rFonts w:hint="eastAsia"/>
        </w:rPr>
        <w:t>补充第</w:t>
      </w:r>
      <w:r>
        <w:t>4</w:t>
      </w:r>
      <w:r>
        <w:rPr>
          <w:rFonts w:hint="eastAsia"/>
        </w:rPr>
        <w:t>条：</w:t>
      </w:r>
    </w:p>
    <w:p w14:paraId="5BDF2AE2">
      <w:pPr>
        <w:tabs>
          <w:tab w:val="left" w:pos="3120"/>
        </w:tabs>
        <w:spacing w:line="360" w:lineRule="auto"/>
        <w:ind w:firstLine="397"/>
      </w:pPr>
      <w:r>
        <w:t>4</w:t>
      </w:r>
      <w:r>
        <w:rPr>
          <w:rFonts w:hint="eastAsia"/>
        </w:rPr>
        <w:t>．所有支座安装时，应按图纸所示对号入座；安装前应检查各支座的属性（固定滑动以及滑动的方向、型号等）是否与所在的墩台位置相符；成桥后应认真将支座所处墩台顶面及四周的混凝土等杂物清理干净，拆除安装时所用的临时螺栓，并检查各支座的功能是否与图纸要求相符，应将检查结果报监理人认可。</w:t>
      </w:r>
    </w:p>
    <w:p w14:paraId="59B335D6">
      <w:pPr>
        <w:pStyle w:val="7"/>
        <w:rPr>
          <w:sz w:val="32"/>
        </w:rPr>
      </w:pPr>
      <w:bookmarkStart w:id="423" w:name="_Toc154675182"/>
      <w:r>
        <w:rPr>
          <w:rFonts w:hint="eastAsia"/>
          <w:sz w:val="32"/>
        </w:rPr>
        <w:t>第</w:t>
      </w:r>
      <w:r>
        <w:rPr>
          <w:sz w:val="32"/>
        </w:rPr>
        <w:t>419</w:t>
      </w:r>
      <w:r>
        <w:rPr>
          <w:rFonts w:hint="eastAsia"/>
          <w:sz w:val="32"/>
        </w:rPr>
        <w:t>节</w:t>
      </w:r>
      <w:r>
        <w:rPr>
          <w:sz w:val="32"/>
        </w:rPr>
        <w:t xml:space="preserve">  </w:t>
      </w:r>
      <w:r>
        <w:rPr>
          <w:rFonts w:hint="eastAsia"/>
          <w:sz w:val="32"/>
        </w:rPr>
        <w:t>圆管涵及倒虹吸管涵</w:t>
      </w:r>
      <w:bookmarkEnd w:id="423"/>
    </w:p>
    <w:p w14:paraId="31EA7AB0">
      <w:pPr>
        <w:spacing w:line="360" w:lineRule="auto"/>
        <w:rPr>
          <w:rFonts w:eastAsia="黑体"/>
          <w:sz w:val="28"/>
          <w:szCs w:val="28"/>
        </w:rPr>
      </w:pPr>
      <w:r>
        <w:rPr>
          <w:rFonts w:eastAsia="黑体"/>
          <w:sz w:val="28"/>
          <w:szCs w:val="28"/>
        </w:rPr>
        <w:t xml:space="preserve">419.03 </w:t>
      </w:r>
      <w:r>
        <w:rPr>
          <w:rFonts w:hint="eastAsia" w:eastAsia="黑体"/>
          <w:sz w:val="28"/>
          <w:szCs w:val="28"/>
        </w:rPr>
        <w:t>一般要求</w:t>
      </w:r>
    </w:p>
    <w:p w14:paraId="29D56872">
      <w:pPr>
        <w:tabs>
          <w:tab w:val="left" w:pos="3120"/>
        </w:tabs>
        <w:spacing w:line="360" w:lineRule="auto"/>
        <w:ind w:firstLine="397"/>
      </w:pPr>
      <w:r>
        <w:rPr>
          <w:rFonts w:hint="eastAsia"/>
        </w:rPr>
        <w:t>第</w:t>
      </w:r>
      <w:r>
        <w:t>8</w:t>
      </w:r>
      <w:r>
        <w:rPr>
          <w:rFonts w:hint="eastAsia"/>
        </w:rPr>
        <w:t>条修改为：</w:t>
      </w:r>
    </w:p>
    <w:p w14:paraId="165E9892">
      <w:pPr>
        <w:tabs>
          <w:tab w:val="left" w:pos="3120"/>
        </w:tabs>
        <w:spacing w:line="360" w:lineRule="auto"/>
        <w:ind w:firstLine="397"/>
      </w:pPr>
      <w:r>
        <w:t>8</w:t>
      </w:r>
      <w:r>
        <w:rPr>
          <w:rFonts w:hint="eastAsia"/>
        </w:rPr>
        <w:t>．所有砂浆砌体均应按《公路桥涵施工技术规范》（</w:t>
      </w:r>
      <w:r>
        <w:t>JTG/T 3650-2020</w:t>
      </w:r>
      <w:r>
        <w:rPr>
          <w:rFonts w:hint="eastAsia"/>
        </w:rPr>
        <w:t>）</w:t>
      </w:r>
      <w:r>
        <w:t xml:space="preserve"> </w:t>
      </w:r>
      <w:r>
        <w:rPr>
          <w:rFonts w:hint="eastAsia"/>
        </w:rPr>
        <w:t>第</w:t>
      </w:r>
      <w:r>
        <w:t>24</w:t>
      </w:r>
      <w:r>
        <w:rPr>
          <w:rFonts w:hint="eastAsia"/>
        </w:rPr>
        <w:t>章的有关规定进行勾缝及养护。所有混凝土的养护和表面缺陷修整弥补。应按照本规范第</w:t>
      </w:r>
      <w:r>
        <w:t>410</w:t>
      </w:r>
      <w:r>
        <w:rPr>
          <w:rFonts w:hint="eastAsia"/>
        </w:rPr>
        <w:t>节的有关规定执行。</w:t>
      </w:r>
    </w:p>
    <w:p w14:paraId="2341F00F">
      <w:pPr>
        <w:tabs>
          <w:tab w:val="left" w:pos="3120"/>
        </w:tabs>
        <w:spacing w:line="360" w:lineRule="auto"/>
        <w:ind w:firstLine="397"/>
      </w:pPr>
    </w:p>
    <w:p w14:paraId="1D3B4432">
      <w:pPr>
        <w:tabs>
          <w:tab w:val="left" w:pos="3120"/>
        </w:tabs>
        <w:spacing w:line="360" w:lineRule="auto"/>
      </w:pPr>
      <w:r>
        <w:rPr>
          <w:rFonts w:hint="eastAsia"/>
        </w:rPr>
        <w:t>补充第</w:t>
      </w:r>
      <w:r>
        <w:t>422</w:t>
      </w:r>
      <w:r>
        <w:rPr>
          <w:rFonts w:hint="eastAsia"/>
        </w:rPr>
        <w:t>节：</w:t>
      </w:r>
      <w:r>
        <w:t xml:space="preserve">  </w:t>
      </w:r>
    </w:p>
    <w:p w14:paraId="2C0DA7B0">
      <w:pPr>
        <w:pStyle w:val="7"/>
        <w:rPr>
          <w:b w:val="0"/>
          <w:bCs w:val="0"/>
          <w:sz w:val="32"/>
        </w:rPr>
      </w:pPr>
      <w:bookmarkStart w:id="424" w:name="_Toc154675183"/>
      <w:r>
        <w:rPr>
          <w:rFonts w:hint="eastAsia"/>
          <w:sz w:val="32"/>
        </w:rPr>
        <w:t>第</w:t>
      </w:r>
      <w:r>
        <w:rPr>
          <w:sz w:val="32"/>
        </w:rPr>
        <w:t>422</w:t>
      </w:r>
      <w:r>
        <w:rPr>
          <w:rFonts w:hint="eastAsia"/>
          <w:sz w:val="32"/>
        </w:rPr>
        <w:t>节</w:t>
      </w:r>
      <w:r>
        <w:rPr>
          <w:sz w:val="32"/>
        </w:rPr>
        <w:t xml:space="preserve">  </w:t>
      </w:r>
      <w:r>
        <w:rPr>
          <w:rFonts w:hint="eastAsia"/>
          <w:sz w:val="32"/>
        </w:rPr>
        <w:t>桥头跳车的防治</w:t>
      </w:r>
      <w:bookmarkEnd w:id="424"/>
    </w:p>
    <w:p w14:paraId="3E5AB982">
      <w:pPr>
        <w:spacing w:line="360" w:lineRule="exact"/>
        <w:jc w:val="center"/>
        <w:rPr>
          <w:rFonts w:eastAsia="方正姚体"/>
          <w:sz w:val="48"/>
        </w:rPr>
      </w:pPr>
    </w:p>
    <w:p w14:paraId="5B2455F7">
      <w:pPr>
        <w:spacing w:line="360" w:lineRule="auto"/>
        <w:rPr>
          <w:rFonts w:eastAsia="黑体"/>
          <w:sz w:val="28"/>
          <w:szCs w:val="28"/>
        </w:rPr>
      </w:pPr>
      <w:r>
        <w:rPr>
          <w:rFonts w:eastAsia="黑体"/>
          <w:sz w:val="28"/>
          <w:szCs w:val="28"/>
        </w:rPr>
        <w:t xml:space="preserve">422.01  </w:t>
      </w:r>
      <w:r>
        <w:rPr>
          <w:rFonts w:hint="eastAsia" w:eastAsia="黑体"/>
          <w:sz w:val="28"/>
          <w:szCs w:val="28"/>
        </w:rPr>
        <w:t>基本要求</w:t>
      </w:r>
    </w:p>
    <w:p w14:paraId="76E215CA">
      <w:pPr>
        <w:tabs>
          <w:tab w:val="left" w:pos="3120"/>
        </w:tabs>
        <w:spacing w:line="360" w:lineRule="auto"/>
        <w:ind w:firstLine="397"/>
      </w:pPr>
      <w:r>
        <w:t>1</w:t>
      </w:r>
      <w:r>
        <w:rPr>
          <w:rFonts w:hint="eastAsia"/>
        </w:rPr>
        <w:t>．桥头（含通道、涵洞）跳车是桥、路衔接处在运营过程中存在的通病。主要是由于引道软基处理不当、台背路基压实不足、桥头搭板设置不当及伸缩缝施工不符合要求等原因，导致桥、路产生错台或差异沉降而跳车。承包人对此必须予以高度重视。</w:t>
      </w:r>
    </w:p>
    <w:p w14:paraId="340696DA">
      <w:pPr>
        <w:tabs>
          <w:tab w:val="left" w:pos="3120"/>
        </w:tabs>
        <w:spacing w:line="360" w:lineRule="auto"/>
        <w:ind w:firstLine="397"/>
      </w:pPr>
      <w:r>
        <w:t>2</w:t>
      </w:r>
      <w:r>
        <w:rPr>
          <w:rFonts w:hint="eastAsia"/>
        </w:rPr>
        <w:t>．承包人应按照设计和规范要求，详细制订有关预防桥头跳车的各项施工作业计划，落实专人专管责任，合理安排施工工序，制订施工操作工艺，明确质量检查制度，并报监理人批准。</w:t>
      </w:r>
    </w:p>
    <w:p w14:paraId="57B8A588">
      <w:pPr>
        <w:tabs>
          <w:tab w:val="left" w:pos="3120"/>
        </w:tabs>
        <w:spacing w:line="360" w:lineRule="auto"/>
        <w:ind w:firstLine="397"/>
      </w:pPr>
      <w:r>
        <w:t>3</w:t>
      </w:r>
      <w:r>
        <w:rPr>
          <w:rFonts w:hint="eastAsia"/>
        </w:rPr>
        <w:t>．做好施工现场的排水固结法工作。两侧边沟断面尺寸符合设计要求，排水畅通，桥台处路堤下部设置的排水盲沟系统完整到位，材料不受污染。</w:t>
      </w:r>
    </w:p>
    <w:p w14:paraId="15E812CA">
      <w:pPr>
        <w:spacing w:line="360" w:lineRule="auto"/>
        <w:rPr>
          <w:rFonts w:eastAsia="黑体"/>
          <w:sz w:val="28"/>
          <w:szCs w:val="28"/>
        </w:rPr>
      </w:pPr>
      <w:r>
        <w:rPr>
          <w:rFonts w:eastAsia="黑体"/>
          <w:sz w:val="28"/>
          <w:szCs w:val="28"/>
        </w:rPr>
        <w:t xml:space="preserve">422.02  </w:t>
      </w:r>
      <w:r>
        <w:rPr>
          <w:rFonts w:hint="eastAsia" w:eastAsia="黑体"/>
          <w:sz w:val="28"/>
          <w:szCs w:val="28"/>
        </w:rPr>
        <w:t>施工要点</w:t>
      </w:r>
    </w:p>
    <w:p w14:paraId="1F12A6EC">
      <w:pPr>
        <w:tabs>
          <w:tab w:val="left" w:pos="3120"/>
        </w:tabs>
        <w:spacing w:line="360" w:lineRule="auto"/>
        <w:ind w:firstLine="397"/>
      </w:pPr>
      <w:r>
        <w:t>1</w:t>
      </w:r>
      <w:r>
        <w:rPr>
          <w:rFonts w:hint="eastAsia"/>
        </w:rPr>
        <w:t>．引道软基处理</w:t>
      </w:r>
    </w:p>
    <w:p w14:paraId="65738461">
      <w:pPr>
        <w:tabs>
          <w:tab w:val="left" w:pos="3120"/>
        </w:tabs>
        <w:spacing w:line="360" w:lineRule="auto"/>
        <w:ind w:firstLine="397"/>
      </w:pPr>
      <w:r>
        <w:rPr>
          <w:rFonts w:hint="eastAsia"/>
        </w:rPr>
        <w:t>（</w:t>
      </w:r>
      <w:r>
        <w:t>1</w:t>
      </w:r>
      <w:r>
        <w:rPr>
          <w:rFonts w:hint="eastAsia"/>
        </w:rPr>
        <w:t>）认真清理引道原地面并做好排水工作。</w:t>
      </w:r>
    </w:p>
    <w:p w14:paraId="05368391">
      <w:pPr>
        <w:tabs>
          <w:tab w:val="left" w:pos="3120"/>
        </w:tabs>
        <w:spacing w:line="360" w:lineRule="auto"/>
        <w:ind w:firstLine="397"/>
      </w:pPr>
      <w:r>
        <w:rPr>
          <w:rFonts w:hint="eastAsia"/>
        </w:rPr>
        <w:t>（</w:t>
      </w:r>
      <w:r>
        <w:t>2</w:t>
      </w:r>
      <w:r>
        <w:rPr>
          <w:rFonts w:hint="eastAsia"/>
        </w:rPr>
        <w:t>）软基处理应根据设计要求，严格按本规范第</w:t>
      </w:r>
      <w:r>
        <w:t>200</w:t>
      </w:r>
      <w:r>
        <w:rPr>
          <w:rFonts w:hint="eastAsia"/>
        </w:rPr>
        <w:t>章第</w:t>
      </w:r>
      <w:r>
        <w:t>205.03</w:t>
      </w:r>
      <w:r>
        <w:rPr>
          <w:rFonts w:hint="eastAsia"/>
        </w:rPr>
        <w:t>小节规定办理。</w:t>
      </w:r>
    </w:p>
    <w:p w14:paraId="3D9ADF8F">
      <w:pPr>
        <w:tabs>
          <w:tab w:val="left" w:pos="3120"/>
        </w:tabs>
        <w:spacing w:line="360" w:lineRule="auto"/>
        <w:ind w:firstLine="397"/>
      </w:pPr>
      <w:r>
        <w:rPr>
          <w:rFonts w:hint="eastAsia"/>
        </w:rPr>
        <w:t>（</w:t>
      </w:r>
      <w:r>
        <w:t>3</w:t>
      </w:r>
      <w:r>
        <w:rPr>
          <w:rFonts w:hint="eastAsia"/>
        </w:rPr>
        <w:t>）对用排水处理的引道软基，必须确保引道路堤的预压期，以充分发挥软基处理的效果，减少工后沉降。</w:t>
      </w:r>
    </w:p>
    <w:p w14:paraId="1BD73BAD">
      <w:pPr>
        <w:tabs>
          <w:tab w:val="left" w:pos="3120"/>
        </w:tabs>
        <w:spacing w:line="360" w:lineRule="auto"/>
        <w:ind w:firstLine="397"/>
      </w:pPr>
      <w:r>
        <w:t>2</w:t>
      </w:r>
      <w:r>
        <w:rPr>
          <w:rFonts w:hint="eastAsia"/>
        </w:rPr>
        <w:t>．台背路基填筑</w:t>
      </w:r>
    </w:p>
    <w:p w14:paraId="77EDEE0B">
      <w:pPr>
        <w:tabs>
          <w:tab w:val="left" w:pos="3120"/>
        </w:tabs>
        <w:spacing w:line="360" w:lineRule="auto"/>
        <w:ind w:firstLine="397"/>
      </w:pPr>
      <w:r>
        <w:rPr>
          <w:rFonts w:hint="eastAsia"/>
        </w:rPr>
        <w:t>（</w:t>
      </w:r>
      <w:r>
        <w:t>1</w:t>
      </w:r>
      <w:r>
        <w:rPr>
          <w:rFonts w:hint="eastAsia"/>
        </w:rPr>
        <w:t>）台背填土应根据设计要求，除严格按本规范第</w:t>
      </w:r>
      <w:r>
        <w:t>200</w:t>
      </w:r>
      <w:r>
        <w:rPr>
          <w:rFonts w:hint="eastAsia"/>
        </w:rPr>
        <w:t>章第</w:t>
      </w:r>
      <w:r>
        <w:t>204.04-9</w:t>
      </w:r>
      <w:r>
        <w:rPr>
          <w:rFonts w:hint="eastAsia"/>
        </w:rPr>
        <w:t>条结构物处的回填规定办理外，还应：</w:t>
      </w:r>
    </w:p>
    <w:p w14:paraId="628DC975">
      <w:pPr>
        <w:tabs>
          <w:tab w:val="left" w:pos="3120"/>
        </w:tabs>
        <w:spacing w:line="360" w:lineRule="auto"/>
        <w:ind w:firstLine="397"/>
      </w:pPr>
      <w:r>
        <w:rPr>
          <w:rFonts w:hint="eastAsia"/>
        </w:rPr>
        <w:t>（</w:t>
      </w:r>
      <w:r>
        <w:t>2</w:t>
      </w:r>
      <w:r>
        <w:rPr>
          <w:rFonts w:hint="eastAsia"/>
        </w:rPr>
        <w:t>）确保台背填料粒径不超过图纸和规范规定，并具有一定级配，填筑材料应经监理人批准。</w:t>
      </w:r>
    </w:p>
    <w:p w14:paraId="751956F1">
      <w:pPr>
        <w:tabs>
          <w:tab w:val="left" w:pos="3120"/>
        </w:tabs>
        <w:spacing w:line="360" w:lineRule="auto"/>
        <w:ind w:firstLine="397"/>
      </w:pPr>
      <w:r>
        <w:rPr>
          <w:rFonts w:hint="eastAsia"/>
        </w:rPr>
        <w:t>（</w:t>
      </w:r>
      <w:r>
        <w:t>3</w:t>
      </w:r>
      <w:r>
        <w:rPr>
          <w:rFonts w:hint="eastAsia"/>
        </w:rPr>
        <w:t>）确保台背填筑压实度达到设计和规范要求，台背填筑压实度应比一般路堤提高</w:t>
      </w:r>
      <w:r>
        <w:t>1</w:t>
      </w:r>
      <w:r>
        <w:rPr>
          <w:rFonts w:hint="eastAsia"/>
        </w:rPr>
        <w:t>～</w:t>
      </w:r>
      <w:r>
        <w:t>2</w:t>
      </w:r>
      <w:r>
        <w:rPr>
          <w:rFonts w:hint="eastAsia"/>
        </w:rPr>
        <w:t>％。承包人应配备足够的大型碾压机具和用于角落的小型压实设备。填筑应严格按设计和规范要求分层，每填一层，碾压一层，检测一层，压实度经监理人检测合格后方可继续填筑上一层。</w:t>
      </w:r>
    </w:p>
    <w:p w14:paraId="0687BCC7">
      <w:pPr>
        <w:tabs>
          <w:tab w:val="left" w:pos="3120"/>
        </w:tabs>
        <w:spacing w:line="360" w:lineRule="auto"/>
        <w:ind w:firstLine="397"/>
      </w:pPr>
      <w:r>
        <w:rPr>
          <w:rFonts w:hint="eastAsia"/>
        </w:rPr>
        <w:t>（</w:t>
      </w:r>
      <w:r>
        <w:t>4</w:t>
      </w:r>
      <w:r>
        <w:rPr>
          <w:rFonts w:hint="eastAsia"/>
        </w:rPr>
        <w:t>）在填筑过程中，要严格控制填筑速率，防止路堤失稳。特别是纵向临河面更应倍加注意并进行路堤向河心位移检测和紧靠桥台第一个桥墩的位移检测，以及时采取措施。</w:t>
      </w:r>
    </w:p>
    <w:p w14:paraId="0E3AA629">
      <w:pPr>
        <w:tabs>
          <w:tab w:val="left" w:pos="3120"/>
        </w:tabs>
        <w:spacing w:line="360" w:lineRule="auto"/>
        <w:ind w:firstLine="397"/>
      </w:pPr>
      <w:r>
        <w:rPr>
          <w:rFonts w:hint="eastAsia"/>
        </w:rPr>
        <w:t>（</w:t>
      </w:r>
      <w:r>
        <w:t>5</w:t>
      </w:r>
      <w:r>
        <w:rPr>
          <w:rFonts w:hint="eastAsia"/>
        </w:rPr>
        <w:t>）为确保填筑质量和预压期，桥台基桩施工尽可能避免二次开挖，承包人应根据设计要求，结合工地实际，提出具体的施工设计报经监理人批准。</w:t>
      </w:r>
    </w:p>
    <w:p w14:paraId="595B99C3">
      <w:pPr>
        <w:tabs>
          <w:tab w:val="left" w:pos="3120"/>
        </w:tabs>
        <w:spacing w:line="360" w:lineRule="auto"/>
        <w:ind w:firstLine="397"/>
      </w:pPr>
      <w:r>
        <w:rPr>
          <w:rFonts w:hint="eastAsia"/>
        </w:rPr>
        <w:t>（</w:t>
      </w:r>
      <w:r>
        <w:t>6</w:t>
      </w:r>
      <w:r>
        <w:rPr>
          <w:rFonts w:hint="eastAsia"/>
        </w:rPr>
        <w:t>）若必须进行两次开挖，则应做好两次开挖和回填工作。开挖断面尺寸应按设计要求开挖并放样，开挖材料不宜堆放在开挖场地周边，应适当远离。靠路堤端按设计图纸以台阶形式向下开挖。开挖分两次，第一次开挖至砂砾层顶面以上一层填土顶面（以保护砂砾层），待桥台桩柱施工后，清除桥桩施工的一些杂土杂物，然后再作第二次开挖，挖去靠桥台侧砂砾层顶面原填土，设置盲沟排水系统，再按设计要求的材料和路堤结构进行回填。回填材料的粒径和分层填筑厚度要严格按设计要求控制。回填区仍要求采用大型碾压机具碾压，对于紧靠台背处和与原路堤拼接部位，应配合使用小型机具或人工辅助夯实。</w:t>
      </w:r>
    </w:p>
    <w:p w14:paraId="51A9FAF0">
      <w:pPr>
        <w:tabs>
          <w:tab w:val="left" w:pos="3120"/>
        </w:tabs>
        <w:spacing w:line="360" w:lineRule="auto"/>
        <w:ind w:firstLine="397"/>
      </w:pPr>
      <w:r>
        <w:rPr>
          <w:rFonts w:hint="eastAsia"/>
        </w:rPr>
        <w:t>（</w:t>
      </w:r>
      <w:r>
        <w:t>7</w:t>
      </w:r>
      <w:r>
        <w:rPr>
          <w:rFonts w:hint="eastAsia"/>
        </w:rPr>
        <w:t>）台背路基填土采用土工合成材料加筋时，应根据图纸要求按照本技术规范第</w:t>
      </w:r>
      <w:r>
        <w:t>200</w:t>
      </w:r>
      <w:r>
        <w:rPr>
          <w:rFonts w:hint="eastAsia"/>
        </w:rPr>
        <w:t>章第</w:t>
      </w:r>
      <w:r>
        <w:t>205.03-3</w:t>
      </w:r>
      <w:r>
        <w:rPr>
          <w:rFonts w:hint="eastAsia"/>
        </w:rPr>
        <w:t>（</w:t>
      </w:r>
      <w:r>
        <w:t>12</w:t>
      </w:r>
      <w:r>
        <w:rPr>
          <w:rFonts w:hint="eastAsia"/>
        </w:rPr>
        <w:t>）款规定办理。</w:t>
      </w:r>
    </w:p>
    <w:p w14:paraId="6C5604CE">
      <w:pPr>
        <w:tabs>
          <w:tab w:val="left" w:pos="3120"/>
        </w:tabs>
        <w:spacing w:line="360" w:lineRule="auto"/>
        <w:ind w:firstLine="397"/>
      </w:pPr>
      <w:r>
        <w:rPr>
          <w:rFonts w:hint="eastAsia"/>
        </w:rPr>
        <w:t>（</w:t>
      </w:r>
      <w:r>
        <w:t>8</w:t>
      </w:r>
      <w:r>
        <w:rPr>
          <w:rFonts w:hint="eastAsia"/>
        </w:rPr>
        <w:t>）台背路基应按图纸和设计要求，做好台背排水。</w:t>
      </w:r>
    </w:p>
    <w:p w14:paraId="0DEB7317">
      <w:pPr>
        <w:tabs>
          <w:tab w:val="left" w:pos="3120"/>
        </w:tabs>
        <w:spacing w:line="360" w:lineRule="auto"/>
        <w:ind w:firstLine="397"/>
      </w:pPr>
      <w:r>
        <w:rPr>
          <w:rFonts w:hint="eastAsia"/>
        </w:rPr>
        <w:t>（</w:t>
      </w:r>
      <w:r>
        <w:t>9</w:t>
      </w:r>
      <w:r>
        <w:rPr>
          <w:rFonts w:hint="eastAsia"/>
        </w:rPr>
        <w:t>）桥头锥坡应在引道地基沉降基本稳定或预压结束后进行，以避免由于沉降而使锥坡裂缝变形。</w:t>
      </w:r>
    </w:p>
    <w:p w14:paraId="56385CDA">
      <w:pPr>
        <w:tabs>
          <w:tab w:val="left" w:pos="3120"/>
        </w:tabs>
        <w:spacing w:line="360" w:lineRule="auto"/>
        <w:ind w:firstLine="397"/>
      </w:pPr>
      <w:r>
        <w:t>3</w:t>
      </w:r>
      <w:r>
        <w:rPr>
          <w:rFonts w:hint="eastAsia"/>
        </w:rPr>
        <w:t>．桥头搭板设置</w:t>
      </w:r>
    </w:p>
    <w:p w14:paraId="711EF4A3">
      <w:pPr>
        <w:tabs>
          <w:tab w:val="left" w:pos="3120"/>
        </w:tabs>
        <w:spacing w:line="360" w:lineRule="auto"/>
        <w:ind w:firstLine="397"/>
      </w:pPr>
      <w:r>
        <w:rPr>
          <w:rFonts w:hint="eastAsia"/>
        </w:rPr>
        <w:t>（</w:t>
      </w:r>
      <w:r>
        <w:t>1</w:t>
      </w:r>
      <w:r>
        <w:rPr>
          <w:rFonts w:hint="eastAsia"/>
        </w:rPr>
        <w:t>）搭板应在路基填筑预压期完成并基本稳定后，经监理人批准方可施工。</w:t>
      </w:r>
    </w:p>
    <w:p w14:paraId="1DB0FF7C">
      <w:pPr>
        <w:tabs>
          <w:tab w:val="left" w:pos="3120"/>
        </w:tabs>
        <w:spacing w:line="360" w:lineRule="auto"/>
        <w:ind w:firstLine="397"/>
      </w:pPr>
      <w:r>
        <w:rPr>
          <w:rFonts w:hint="eastAsia"/>
        </w:rPr>
        <w:t>（</w:t>
      </w:r>
      <w:r>
        <w:t>2</w:t>
      </w:r>
      <w:r>
        <w:rPr>
          <w:rFonts w:hint="eastAsia"/>
        </w:rPr>
        <w:t>）搭板基面应平整，垫层应密实，垫层可采用与路面基层相同的半刚性材料填筑和压实。搭板顶面标高可与路面基层顶面标高持平，以确保搭板顶面的沥青混凝土路面厚度。</w:t>
      </w:r>
    </w:p>
    <w:p w14:paraId="29E418B3">
      <w:pPr>
        <w:tabs>
          <w:tab w:val="left" w:pos="3120"/>
        </w:tabs>
        <w:spacing w:line="360" w:lineRule="auto"/>
        <w:ind w:firstLine="397"/>
      </w:pPr>
      <w:r>
        <w:rPr>
          <w:rFonts w:hint="eastAsia"/>
        </w:rPr>
        <w:t>（</w:t>
      </w:r>
      <w:r>
        <w:t>3</w:t>
      </w:r>
      <w:r>
        <w:rPr>
          <w:rFonts w:hint="eastAsia"/>
        </w:rPr>
        <w:t>）搭板施工（钢筋和混凝土）应严格按设计图纸和本规范第</w:t>
      </w:r>
      <w:r>
        <w:t>403</w:t>
      </w:r>
      <w:r>
        <w:rPr>
          <w:rFonts w:hint="eastAsia"/>
        </w:rPr>
        <w:t>节及第</w:t>
      </w:r>
      <w:r>
        <w:t>410</w:t>
      </w:r>
      <w:r>
        <w:rPr>
          <w:rFonts w:hint="eastAsia"/>
        </w:rPr>
        <w:t>节规定办理。</w:t>
      </w:r>
    </w:p>
    <w:p w14:paraId="2EA3AE00">
      <w:pPr>
        <w:tabs>
          <w:tab w:val="left" w:pos="3120"/>
        </w:tabs>
        <w:spacing w:line="360" w:lineRule="auto"/>
        <w:ind w:firstLine="397"/>
      </w:pPr>
      <w:r>
        <w:rPr>
          <w:rFonts w:hint="eastAsia"/>
        </w:rPr>
        <w:t>（</w:t>
      </w:r>
      <w:r>
        <w:t>4</w:t>
      </w:r>
      <w:r>
        <w:rPr>
          <w:rFonts w:hint="eastAsia"/>
        </w:rPr>
        <w:t>）为防止工后沉降导致搭板底面脱空而断裂或沉陷，承包人应按图纸要求和监理人指示，在每幅搭板两侧预留一定数量的压浆孔，以便于日后压浆填实搭板基底。</w:t>
      </w:r>
    </w:p>
    <w:p w14:paraId="2D7CDCD4">
      <w:pPr>
        <w:tabs>
          <w:tab w:val="left" w:pos="3120"/>
        </w:tabs>
        <w:spacing w:line="360" w:lineRule="auto"/>
        <w:ind w:firstLine="397"/>
      </w:pPr>
      <w:r>
        <w:t>4</w:t>
      </w:r>
      <w:r>
        <w:rPr>
          <w:rFonts w:hint="eastAsia"/>
        </w:rPr>
        <w:t>．伸缩缝施工</w:t>
      </w:r>
    </w:p>
    <w:p w14:paraId="69CF6EDD">
      <w:pPr>
        <w:tabs>
          <w:tab w:val="left" w:pos="3120"/>
        </w:tabs>
        <w:spacing w:line="360" w:lineRule="auto"/>
        <w:ind w:firstLine="397"/>
      </w:pPr>
      <w:r>
        <w:rPr>
          <w:rFonts w:hint="eastAsia"/>
        </w:rPr>
        <w:t>（</w:t>
      </w:r>
      <w:r>
        <w:t>1</w:t>
      </w:r>
      <w:r>
        <w:rPr>
          <w:rFonts w:hint="eastAsia"/>
        </w:rPr>
        <w:t>）桥台伸缩缝施工，应严格按设计图纸和本规范第</w:t>
      </w:r>
      <w:r>
        <w:t>417</w:t>
      </w:r>
      <w:r>
        <w:rPr>
          <w:rFonts w:hint="eastAsia"/>
        </w:rPr>
        <w:t>节规定办理。</w:t>
      </w:r>
    </w:p>
    <w:p w14:paraId="37CDEDFB">
      <w:pPr>
        <w:tabs>
          <w:tab w:val="left" w:pos="3120"/>
        </w:tabs>
        <w:spacing w:line="360" w:lineRule="auto"/>
        <w:ind w:firstLine="397"/>
      </w:pPr>
      <w:r>
        <w:rPr>
          <w:rFonts w:hint="eastAsia"/>
        </w:rPr>
        <w:t>（</w:t>
      </w:r>
      <w:r>
        <w:t>2</w:t>
      </w:r>
      <w:r>
        <w:rPr>
          <w:rFonts w:hint="eastAsia"/>
        </w:rPr>
        <w:t>）桥台台帽上伸缩缝预埋锚固筋要定位正确、锚固牢靠，防止错位、漏筋。</w:t>
      </w:r>
    </w:p>
    <w:p w14:paraId="3C0D5DFD">
      <w:pPr>
        <w:tabs>
          <w:tab w:val="left" w:pos="3120"/>
        </w:tabs>
        <w:spacing w:line="360" w:lineRule="auto"/>
        <w:ind w:firstLine="397"/>
      </w:pPr>
      <w:r>
        <w:rPr>
          <w:rFonts w:hint="eastAsia"/>
        </w:rPr>
        <w:t>（</w:t>
      </w:r>
      <w:r>
        <w:t>3</w:t>
      </w:r>
      <w:r>
        <w:rPr>
          <w:rFonts w:hint="eastAsia"/>
        </w:rPr>
        <w:t>）桥台台帽椅子背顶标高不准高出设计标高。伸缩缝混凝土应采用钢纤维混凝土，并应注意密实平整，与桥头路堤沥青混凝土顶面标高持平，结合严密无缝隙。</w:t>
      </w:r>
    </w:p>
    <w:p w14:paraId="32E4A741">
      <w:pPr>
        <w:tabs>
          <w:tab w:val="left" w:pos="3120"/>
        </w:tabs>
        <w:jc w:val="center"/>
        <w:outlineLvl w:val="2"/>
        <w:rPr>
          <w:rFonts w:eastAsia="黑体"/>
          <w:sz w:val="44"/>
        </w:rPr>
      </w:pPr>
      <w:r>
        <w:br w:type="page"/>
      </w:r>
      <w:bookmarkStart w:id="425" w:name="_Toc154675184"/>
      <w:bookmarkStart w:id="426" w:name="_Toc20709"/>
      <w:bookmarkStart w:id="427" w:name="_Toc484679343"/>
      <w:r>
        <w:rPr>
          <w:rFonts w:hint="eastAsia" w:eastAsia="黑体"/>
          <w:sz w:val="44"/>
        </w:rPr>
        <w:t>第</w:t>
      </w:r>
      <w:r>
        <w:rPr>
          <w:rFonts w:eastAsia="黑体"/>
          <w:sz w:val="44"/>
        </w:rPr>
        <w:t>500</w:t>
      </w:r>
      <w:r>
        <w:rPr>
          <w:rFonts w:hint="eastAsia" w:eastAsia="黑体"/>
          <w:sz w:val="44"/>
        </w:rPr>
        <w:t>章</w:t>
      </w:r>
      <w:r>
        <w:rPr>
          <w:rFonts w:eastAsia="黑体"/>
          <w:sz w:val="44"/>
        </w:rPr>
        <w:t xml:space="preserve">  </w:t>
      </w:r>
      <w:r>
        <w:rPr>
          <w:rFonts w:hint="eastAsia" w:eastAsia="黑体"/>
          <w:sz w:val="44"/>
        </w:rPr>
        <w:t>隧</w:t>
      </w:r>
      <w:r>
        <w:rPr>
          <w:rFonts w:eastAsia="黑体"/>
          <w:sz w:val="44"/>
        </w:rPr>
        <w:t xml:space="preserve">    </w:t>
      </w:r>
      <w:r>
        <w:rPr>
          <w:rFonts w:hint="eastAsia" w:eastAsia="黑体"/>
          <w:sz w:val="44"/>
        </w:rPr>
        <w:t>道</w:t>
      </w:r>
      <w:bookmarkEnd w:id="425"/>
      <w:bookmarkEnd w:id="426"/>
      <w:bookmarkEnd w:id="427"/>
    </w:p>
    <w:p w14:paraId="0D3D6508">
      <w:pPr>
        <w:tabs>
          <w:tab w:val="left" w:pos="3120"/>
        </w:tabs>
        <w:jc w:val="center"/>
        <w:rPr>
          <w:rFonts w:eastAsia="黑体"/>
          <w:sz w:val="44"/>
        </w:rPr>
      </w:pPr>
    </w:p>
    <w:p w14:paraId="75A4A534">
      <w:pPr>
        <w:pStyle w:val="7"/>
        <w:rPr>
          <w:rFonts w:ascii="宋体" w:hAnsi="宋体"/>
          <w:sz w:val="32"/>
        </w:rPr>
      </w:pPr>
      <w:bookmarkStart w:id="428" w:name="_Toc154675185"/>
      <w:r>
        <w:rPr>
          <w:rFonts w:hint="eastAsia" w:ascii="宋体" w:hAnsi="宋体"/>
          <w:sz w:val="32"/>
        </w:rPr>
        <w:t>第</w:t>
      </w:r>
      <w:r>
        <w:rPr>
          <w:rFonts w:ascii="宋体" w:hAnsi="宋体"/>
          <w:sz w:val="32"/>
        </w:rPr>
        <w:t>501</w:t>
      </w:r>
      <w:r>
        <w:rPr>
          <w:rFonts w:hint="eastAsia" w:ascii="宋体" w:hAnsi="宋体"/>
          <w:sz w:val="32"/>
        </w:rPr>
        <w:t>节</w:t>
      </w:r>
      <w:r>
        <w:rPr>
          <w:rFonts w:ascii="宋体" w:hAnsi="宋体"/>
          <w:sz w:val="32"/>
        </w:rPr>
        <w:t xml:space="preserve">  </w:t>
      </w:r>
      <w:r>
        <w:rPr>
          <w:rFonts w:hint="eastAsia" w:ascii="宋体" w:hAnsi="宋体"/>
          <w:sz w:val="32"/>
        </w:rPr>
        <w:t>通</w:t>
      </w:r>
      <w:r>
        <w:rPr>
          <w:rFonts w:ascii="宋体" w:hAnsi="宋体"/>
          <w:sz w:val="32"/>
        </w:rPr>
        <w:t xml:space="preserve"> </w:t>
      </w:r>
      <w:r>
        <w:rPr>
          <w:rFonts w:hint="eastAsia" w:ascii="宋体" w:hAnsi="宋体"/>
          <w:sz w:val="32"/>
        </w:rPr>
        <w:t>则</w:t>
      </w:r>
      <w:bookmarkEnd w:id="428"/>
    </w:p>
    <w:p w14:paraId="0A71E285">
      <w:pPr>
        <w:tabs>
          <w:tab w:val="left" w:pos="3120"/>
        </w:tabs>
        <w:spacing w:line="360" w:lineRule="auto"/>
        <w:rPr>
          <w:rFonts w:eastAsia="黑体"/>
          <w:sz w:val="28"/>
          <w:szCs w:val="28"/>
        </w:rPr>
      </w:pPr>
    </w:p>
    <w:p w14:paraId="56367297">
      <w:pPr>
        <w:tabs>
          <w:tab w:val="left" w:pos="3120"/>
        </w:tabs>
        <w:spacing w:line="360" w:lineRule="auto"/>
        <w:rPr>
          <w:rFonts w:eastAsia="黑体"/>
          <w:sz w:val="28"/>
          <w:szCs w:val="28"/>
        </w:rPr>
      </w:pPr>
      <w:r>
        <w:rPr>
          <w:rFonts w:eastAsia="黑体"/>
          <w:sz w:val="28"/>
          <w:szCs w:val="28"/>
        </w:rPr>
        <w:t xml:space="preserve">501.03  </w:t>
      </w:r>
      <w:r>
        <w:rPr>
          <w:rFonts w:hint="eastAsia" w:eastAsia="黑体"/>
          <w:sz w:val="28"/>
          <w:szCs w:val="28"/>
        </w:rPr>
        <w:t>一般规定</w:t>
      </w:r>
    </w:p>
    <w:p w14:paraId="2F09FDF0">
      <w:pPr>
        <w:spacing w:line="360" w:lineRule="auto"/>
        <w:ind w:firstLine="397"/>
        <w:rPr>
          <w:spacing w:val="-2"/>
        </w:rPr>
      </w:pPr>
      <w:r>
        <w:rPr>
          <w:spacing w:val="-2"/>
        </w:rPr>
        <w:t>2</w:t>
      </w:r>
      <w:r>
        <w:rPr>
          <w:rFonts w:hint="eastAsia"/>
          <w:spacing w:val="-2"/>
        </w:rPr>
        <w:t>．确定施工方案编制实施性施工组织设计</w:t>
      </w:r>
    </w:p>
    <w:p w14:paraId="08585450">
      <w:pPr>
        <w:spacing w:line="360" w:lineRule="auto"/>
        <w:ind w:firstLine="397"/>
        <w:rPr>
          <w:spacing w:val="-2"/>
        </w:rPr>
      </w:pPr>
      <w:r>
        <w:rPr>
          <w:rFonts w:hint="eastAsia"/>
          <w:spacing w:val="-2"/>
        </w:rPr>
        <w:t>第</w:t>
      </w:r>
      <w:r>
        <w:rPr>
          <w:spacing w:val="-2"/>
        </w:rPr>
        <w:t>4</w:t>
      </w:r>
      <w:r>
        <w:rPr>
          <w:rFonts w:hint="eastAsia"/>
          <w:spacing w:val="-2"/>
        </w:rPr>
        <w:t>条修改为：</w:t>
      </w:r>
    </w:p>
    <w:p w14:paraId="7733EC62">
      <w:pPr>
        <w:spacing w:line="360" w:lineRule="auto"/>
        <w:ind w:firstLine="397"/>
        <w:rPr>
          <w:spacing w:val="-2"/>
        </w:rPr>
      </w:pPr>
      <w:r>
        <w:rPr>
          <w:spacing w:val="-2"/>
        </w:rPr>
        <w:t>4</w:t>
      </w:r>
      <w:r>
        <w:rPr>
          <w:rFonts w:hint="eastAsia"/>
          <w:spacing w:val="-2"/>
        </w:rPr>
        <w:t>．施工过程中，当围岩地质条件发生变化，应报请监理人和设计人审定。若施工技术需作相应变更时，应报监理人和设计人批准。对于Ⅰ～Ⅵ级围岩级别的划分，应符合《公路隧道设计规范》（</w:t>
      </w:r>
      <w:r>
        <w:rPr>
          <w:spacing w:val="-2"/>
        </w:rPr>
        <w:t>JTG 3370.1-2018</w:t>
      </w:r>
      <w:r>
        <w:rPr>
          <w:rFonts w:hint="eastAsia"/>
          <w:spacing w:val="-2"/>
        </w:rPr>
        <w:t>）的规定。监理人和设计人对围岩变化认可后，承包人应根据实际情况调整施工组织，以保证工程进度与质量。</w:t>
      </w:r>
    </w:p>
    <w:p w14:paraId="5F23DC43">
      <w:pPr>
        <w:spacing w:line="360" w:lineRule="auto"/>
        <w:ind w:firstLine="397"/>
        <w:rPr>
          <w:spacing w:val="-2"/>
        </w:rPr>
      </w:pPr>
      <w:r>
        <w:rPr>
          <w:rFonts w:hint="eastAsia"/>
          <w:spacing w:val="-2"/>
        </w:rPr>
        <w:t>补充第</w:t>
      </w:r>
      <w:r>
        <w:rPr>
          <w:spacing w:val="-2"/>
        </w:rPr>
        <w:t>8</w:t>
      </w:r>
      <w:r>
        <w:rPr>
          <w:rFonts w:hint="eastAsia"/>
          <w:spacing w:val="-2"/>
        </w:rPr>
        <w:t>条：</w:t>
      </w:r>
    </w:p>
    <w:p w14:paraId="2F72CE56">
      <w:pPr>
        <w:spacing w:line="360" w:lineRule="auto"/>
        <w:ind w:firstLine="397"/>
        <w:rPr>
          <w:spacing w:val="-2"/>
        </w:rPr>
      </w:pPr>
      <w:r>
        <w:rPr>
          <w:spacing w:val="-2"/>
        </w:rPr>
        <w:t xml:space="preserve">8. </w:t>
      </w:r>
      <w:r>
        <w:rPr>
          <w:rFonts w:hint="eastAsia"/>
          <w:spacing w:val="-2"/>
        </w:rPr>
        <w:t>其他要求</w:t>
      </w:r>
    </w:p>
    <w:p w14:paraId="5DAE93E1">
      <w:pPr>
        <w:spacing w:line="360" w:lineRule="auto"/>
        <w:ind w:firstLine="397"/>
        <w:rPr>
          <w:spacing w:val="-2"/>
        </w:rPr>
      </w:pPr>
      <w:r>
        <w:rPr>
          <w:rFonts w:hint="eastAsia"/>
          <w:spacing w:val="-2"/>
        </w:rPr>
        <w:t>隧道施工应符合《公路工程小型预制构件施工技术规范》、《公路山岭隧道机械化施工指南》的要求。</w:t>
      </w:r>
    </w:p>
    <w:p w14:paraId="751B76FA">
      <w:pPr>
        <w:tabs>
          <w:tab w:val="left" w:pos="3120"/>
        </w:tabs>
        <w:jc w:val="center"/>
        <w:rPr>
          <w:rFonts w:eastAsia="黑体"/>
          <w:sz w:val="32"/>
        </w:rPr>
      </w:pPr>
    </w:p>
    <w:p w14:paraId="54119A98">
      <w:pPr>
        <w:pStyle w:val="7"/>
        <w:rPr>
          <w:rFonts w:ascii="宋体" w:hAnsi="宋体"/>
          <w:sz w:val="32"/>
        </w:rPr>
      </w:pPr>
      <w:bookmarkStart w:id="429" w:name="_Toc154675186"/>
      <w:r>
        <w:rPr>
          <w:rFonts w:hint="eastAsia" w:ascii="宋体" w:hAnsi="宋体"/>
          <w:sz w:val="32"/>
        </w:rPr>
        <w:t>第</w:t>
      </w:r>
      <w:r>
        <w:rPr>
          <w:rFonts w:ascii="宋体" w:hAnsi="宋体"/>
          <w:sz w:val="32"/>
        </w:rPr>
        <w:t>502</w:t>
      </w:r>
      <w:r>
        <w:rPr>
          <w:rFonts w:hint="eastAsia" w:ascii="宋体" w:hAnsi="宋体"/>
          <w:sz w:val="32"/>
        </w:rPr>
        <w:t>节</w:t>
      </w:r>
      <w:r>
        <w:rPr>
          <w:rFonts w:ascii="宋体" w:hAnsi="宋体"/>
          <w:sz w:val="32"/>
        </w:rPr>
        <w:t xml:space="preserve">  </w:t>
      </w:r>
      <w:r>
        <w:rPr>
          <w:rFonts w:hint="eastAsia" w:ascii="宋体" w:hAnsi="宋体"/>
          <w:sz w:val="32"/>
        </w:rPr>
        <w:t>洞口与明洞工程</w:t>
      </w:r>
      <w:bookmarkEnd w:id="429"/>
    </w:p>
    <w:p w14:paraId="0FA386AE">
      <w:pPr>
        <w:tabs>
          <w:tab w:val="left" w:pos="3120"/>
        </w:tabs>
        <w:jc w:val="center"/>
        <w:rPr>
          <w:rFonts w:eastAsia="黑体"/>
          <w:sz w:val="32"/>
        </w:rPr>
      </w:pPr>
    </w:p>
    <w:p w14:paraId="7F3A6E54">
      <w:pPr>
        <w:tabs>
          <w:tab w:val="left" w:pos="3120"/>
        </w:tabs>
        <w:spacing w:line="360" w:lineRule="auto"/>
        <w:rPr>
          <w:rFonts w:eastAsia="黑体"/>
          <w:sz w:val="28"/>
          <w:szCs w:val="28"/>
        </w:rPr>
      </w:pPr>
      <w:r>
        <w:rPr>
          <w:rFonts w:eastAsia="黑体"/>
          <w:sz w:val="28"/>
          <w:szCs w:val="28"/>
        </w:rPr>
        <w:t xml:space="preserve">502.02  </w:t>
      </w:r>
      <w:r>
        <w:rPr>
          <w:rFonts w:hint="eastAsia" w:eastAsia="黑体"/>
          <w:sz w:val="28"/>
          <w:szCs w:val="28"/>
        </w:rPr>
        <w:t>一般规定</w:t>
      </w:r>
    </w:p>
    <w:p w14:paraId="4C95AD2F">
      <w:pPr>
        <w:spacing w:line="360" w:lineRule="auto"/>
        <w:ind w:firstLine="397"/>
      </w:pPr>
      <w:r>
        <w:rPr>
          <w:rFonts w:hint="eastAsia"/>
        </w:rPr>
        <w:t>补充第</w:t>
      </w:r>
      <w:r>
        <w:t>8</w:t>
      </w:r>
      <w:r>
        <w:rPr>
          <w:rFonts w:hint="eastAsia"/>
        </w:rPr>
        <w:t>、</w:t>
      </w:r>
      <w:r>
        <w:t>9</w:t>
      </w:r>
      <w:r>
        <w:rPr>
          <w:rFonts w:hint="eastAsia"/>
        </w:rPr>
        <w:t>条：</w:t>
      </w:r>
    </w:p>
    <w:p w14:paraId="19BE8272">
      <w:pPr>
        <w:spacing w:line="360" w:lineRule="auto"/>
        <w:ind w:firstLine="397"/>
      </w:pPr>
      <w:r>
        <w:t>8</w:t>
      </w:r>
      <w:r>
        <w:rPr>
          <w:rFonts w:hint="eastAsia"/>
        </w:rPr>
        <w:t>．施工便道的引入和施工场地的平整应尽量减少对原地貌的破坏和对洞口岩体稳定的影响；</w:t>
      </w:r>
    </w:p>
    <w:p w14:paraId="69174DA0">
      <w:pPr>
        <w:tabs>
          <w:tab w:val="left" w:pos="3120"/>
        </w:tabs>
        <w:spacing w:line="360" w:lineRule="auto"/>
        <w:ind w:firstLine="420" w:firstLineChars="200"/>
        <w:rPr>
          <w:rFonts w:eastAsia="黑体"/>
          <w:sz w:val="28"/>
          <w:szCs w:val="28"/>
        </w:rPr>
      </w:pPr>
      <w:r>
        <w:t>9</w:t>
      </w:r>
      <w:r>
        <w:rPr>
          <w:rFonts w:hint="eastAsia"/>
        </w:rPr>
        <w:t>．对隧道地形地质条件复杂，多座隧道洞口地形、地质偏压较严重的，为确保进洞安全，隧道开挖前，二衬台车必须同步到位。</w:t>
      </w:r>
    </w:p>
    <w:p w14:paraId="2698E338">
      <w:pPr>
        <w:spacing w:line="360" w:lineRule="auto"/>
        <w:ind w:firstLine="397"/>
      </w:pPr>
    </w:p>
    <w:p w14:paraId="030878E6">
      <w:pPr>
        <w:pStyle w:val="7"/>
        <w:rPr>
          <w:rFonts w:ascii="宋体" w:hAnsi="宋体"/>
          <w:sz w:val="32"/>
        </w:rPr>
      </w:pPr>
      <w:bookmarkStart w:id="430" w:name="_Toc154675187"/>
      <w:r>
        <w:rPr>
          <w:rFonts w:hint="eastAsia" w:ascii="宋体" w:hAnsi="宋体"/>
          <w:sz w:val="32"/>
        </w:rPr>
        <w:t>第</w:t>
      </w:r>
      <w:r>
        <w:rPr>
          <w:rFonts w:ascii="宋体" w:hAnsi="宋体"/>
          <w:sz w:val="32"/>
        </w:rPr>
        <w:t>503</w:t>
      </w:r>
      <w:r>
        <w:rPr>
          <w:rFonts w:hint="eastAsia" w:ascii="宋体" w:hAnsi="宋体"/>
          <w:sz w:val="32"/>
        </w:rPr>
        <w:t>节</w:t>
      </w:r>
      <w:r>
        <w:rPr>
          <w:rFonts w:ascii="宋体" w:hAnsi="宋体"/>
          <w:sz w:val="32"/>
        </w:rPr>
        <w:t xml:space="preserve">  </w:t>
      </w:r>
      <w:r>
        <w:rPr>
          <w:rFonts w:hint="eastAsia" w:ascii="宋体" w:hAnsi="宋体"/>
          <w:sz w:val="32"/>
        </w:rPr>
        <w:t>洞身开挖</w:t>
      </w:r>
      <w:bookmarkEnd w:id="430"/>
    </w:p>
    <w:p w14:paraId="4758F057">
      <w:pPr>
        <w:tabs>
          <w:tab w:val="left" w:pos="3120"/>
        </w:tabs>
        <w:spacing w:line="360" w:lineRule="auto"/>
        <w:rPr>
          <w:rFonts w:eastAsia="黑体"/>
          <w:sz w:val="28"/>
          <w:szCs w:val="28"/>
        </w:rPr>
      </w:pPr>
      <w:r>
        <w:rPr>
          <w:rFonts w:eastAsia="黑体"/>
          <w:sz w:val="28"/>
          <w:szCs w:val="28"/>
        </w:rPr>
        <w:t xml:space="preserve">503.02  </w:t>
      </w:r>
      <w:r>
        <w:rPr>
          <w:rFonts w:hint="eastAsia" w:eastAsia="黑体"/>
          <w:sz w:val="28"/>
          <w:szCs w:val="28"/>
        </w:rPr>
        <w:t>一般规定</w:t>
      </w:r>
    </w:p>
    <w:p w14:paraId="623F842D">
      <w:pPr>
        <w:spacing w:line="360" w:lineRule="exact"/>
        <w:ind w:firstLine="412" w:firstLineChars="200"/>
        <w:rPr>
          <w:spacing w:val="-2"/>
        </w:rPr>
      </w:pPr>
      <w:r>
        <w:rPr>
          <w:rFonts w:hint="eastAsia"/>
          <w:spacing w:val="-2"/>
        </w:rPr>
        <w:t>补充</w:t>
      </w:r>
      <w:r>
        <w:rPr>
          <w:rFonts w:hint="eastAsia"/>
        </w:rPr>
        <w:t>第</w:t>
      </w:r>
      <w:r>
        <w:rPr>
          <w:spacing w:val="-2"/>
        </w:rPr>
        <w:t>7</w:t>
      </w:r>
      <w:r>
        <w:rPr>
          <w:rFonts w:hint="eastAsia"/>
          <w:spacing w:val="-2"/>
        </w:rPr>
        <w:t>条</w:t>
      </w:r>
    </w:p>
    <w:p w14:paraId="470BBED3">
      <w:pPr>
        <w:spacing w:line="360" w:lineRule="exact"/>
        <w:ind w:firstLine="412" w:firstLineChars="200"/>
        <w:rPr>
          <w:spacing w:val="-2"/>
        </w:rPr>
      </w:pPr>
      <w:r>
        <w:rPr>
          <w:spacing w:val="-2"/>
        </w:rPr>
        <w:t>7</w:t>
      </w:r>
      <w:r>
        <w:rPr>
          <w:rFonts w:hint="eastAsia"/>
          <w:spacing w:val="-2"/>
        </w:rPr>
        <w:t>、本工程隧道洞身开挖施工应采用机械化作业。</w:t>
      </w:r>
    </w:p>
    <w:p w14:paraId="075350C6">
      <w:pPr>
        <w:tabs>
          <w:tab w:val="left" w:pos="3120"/>
        </w:tabs>
        <w:spacing w:before="120" w:beforeLines="50" w:line="360" w:lineRule="auto"/>
        <w:rPr>
          <w:rFonts w:eastAsia="黑体"/>
          <w:sz w:val="28"/>
          <w:szCs w:val="28"/>
        </w:rPr>
      </w:pPr>
      <w:r>
        <w:rPr>
          <w:rFonts w:eastAsia="黑体"/>
          <w:sz w:val="28"/>
          <w:szCs w:val="28"/>
        </w:rPr>
        <w:t xml:space="preserve">503.04  </w:t>
      </w:r>
      <w:r>
        <w:rPr>
          <w:rFonts w:hint="eastAsia" w:eastAsia="黑体"/>
          <w:sz w:val="28"/>
          <w:szCs w:val="28"/>
        </w:rPr>
        <w:t>装渣运输</w:t>
      </w:r>
    </w:p>
    <w:p w14:paraId="51305048">
      <w:pPr>
        <w:spacing w:line="360" w:lineRule="auto"/>
        <w:ind w:firstLine="397"/>
      </w:pPr>
      <w:r>
        <w:t>3</w:t>
      </w:r>
      <w:r>
        <w:rPr>
          <w:rFonts w:hint="eastAsia"/>
        </w:rPr>
        <w:t>、弃渣装运</w:t>
      </w:r>
    </w:p>
    <w:p w14:paraId="7BC34575">
      <w:pPr>
        <w:spacing w:line="360" w:lineRule="auto"/>
        <w:ind w:firstLine="397"/>
      </w:pPr>
      <w:r>
        <w:rPr>
          <w:rFonts w:hint="eastAsia"/>
        </w:rPr>
        <w:t>补充第（</w:t>
      </w:r>
      <w:r>
        <w:t>4</w:t>
      </w:r>
      <w:r>
        <w:rPr>
          <w:rFonts w:hint="eastAsia"/>
        </w:rPr>
        <w:t>）款</w:t>
      </w:r>
    </w:p>
    <w:p w14:paraId="11911060">
      <w:pPr>
        <w:spacing w:line="360" w:lineRule="auto"/>
        <w:ind w:firstLine="397"/>
      </w:pPr>
      <w:r>
        <w:rPr>
          <w:rFonts w:hint="eastAsia"/>
        </w:rPr>
        <w:t>（</w:t>
      </w:r>
      <w:r>
        <w:t>4</w:t>
      </w:r>
      <w:r>
        <w:rPr>
          <w:rFonts w:hint="eastAsia"/>
        </w:rPr>
        <w:t>）本工程的弃渣装运和堆放应做到不污染环境、不影响水利、不干扰地方交通及不干扰当地居民正常生活等；否则，引起的一切后果均由承包人自理。</w:t>
      </w:r>
    </w:p>
    <w:p w14:paraId="19349F8A">
      <w:pPr>
        <w:tabs>
          <w:tab w:val="left" w:pos="3120"/>
        </w:tabs>
        <w:jc w:val="center"/>
        <w:outlineLvl w:val="2"/>
        <w:rPr>
          <w:rFonts w:eastAsia="黑体"/>
          <w:sz w:val="44"/>
        </w:rPr>
      </w:pPr>
      <w:r>
        <w:br w:type="page"/>
      </w:r>
      <w:bookmarkStart w:id="431" w:name="_Toc154675188"/>
      <w:bookmarkStart w:id="432" w:name="_Toc484679344"/>
      <w:bookmarkStart w:id="433" w:name="_Toc23213"/>
      <w:r>
        <w:rPr>
          <w:rFonts w:hint="eastAsia" w:eastAsia="黑体"/>
          <w:sz w:val="44"/>
        </w:rPr>
        <w:t>第</w:t>
      </w:r>
      <w:r>
        <w:rPr>
          <w:rFonts w:eastAsia="黑体"/>
          <w:sz w:val="44"/>
        </w:rPr>
        <w:t>600</w:t>
      </w:r>
      <w:r>
        <w:rPr>
          <w:rFonts w:hint="eastAsia" w:eastAsia="黑体"/>
          <w:sz w:val="44"/>
        </w:rPr>
        <w:t>章</w:t>
      </w:r>
      <w:r>
        <w:rPr>
          <w:rFonts w:eastAsia="黑体"/>
          <w:sz w:val="44"/>
        </w:rPr>
        <w:t xml:space="preserve">  </w:t>
      </w:r>
      <w:r>
        <w:rPr>
          <w:rFonts w:hint="eastAsia" w:eastAsia="黑体"/>
          <w:sz w:val="44"/>
        </w:rPr>
        <w:t>安全设施及预埋管线</w:t>
      </w:r>
      <w:bookmarkEnd w:id="431"/>
      <w:bookmarkEnd w:id="432"/>
      <w:bookmarkEnd w:id="433"/>
    </w:p>
    <w:p w14:paraId="14DD195B">
      <w:pPr>
        <w:tabs>
          <w:tab w:val="left" w:pos="3120"/>
        </w:tabs>
        <w:jc w:val="center"/>
        <w:rPr>
          <w:rFonts w:eastAsia="黑体"/>
          <w:sz w:val="44"/>
        </w:rPr>
      </w:pPr>
    </w:p>
    <w:p w14:paraId="5E8A3952">
      <w:pPr>
        <w:pStyle w:val="7"/>
        <w:rPr>
          <w:rFonts w:ascii="宋体" w:hAnsi="宋体"/>
          <w:sz w:val="32"/>
        </w:rPr>
      </w:pPr>
      <w:bookmarkStart w:id="434" w:name="_Toc154675189"/>
      <w:r>
        <w:rPr>
          <w:rFonts w:hint="eastAsia" w:ascii="宋体" w:hAnsi="宋体"/>
          <w:sz w:val="32"/>
        </w:rPr>
        <w:t>第</w:t>
      </w:r>
      <w:r>
        <w:rPr>
          <w:rFonts w:ascii="宋体" w:hAnsi="宋体"/>
          <w:sz w:val="32"/>
        </w:rPr>
        <w:t>601</w:t>
      </w:r>
      <w:r>
        <w:rPr>
          <w:rFonts w:hint="eastAsia" w:ascii="宋体" w:hAnsi="宋体"/>
          <w:sz w:val="32"/>
        </w:rPr>
        <w:t>节</w:t>
      </w:r>
      <w:r>
        <w:rPr>
          <w:rFonts w:ascii="宋体" w:hAnsi="宋体"/>
          <w:sz w:val="32"/>
        </w:rPr>
        <w:t xml:space="preserve">  </w:t>
      </w:r>
      <w:r>
        <w:rPr>
          <w:rFonts w:hint="eastAsia" w:ascii="宋体" w:hAnsi="宋体"/>
          <w:sz w:val="32"/>
        </w:rPr>
        <w:t>通</w:t>
      </w:r>
      <w:r>
        <w:rPr>
          <w:rFonts w:ascii="宋体" w:hAnsi="宋体"/>
          <w:sz w:val="32"/>
        </w:rPr>
        <w:t xml:space="preserve"> </w:t>
      </w:r>
      <w:r>
        <w:rPr>
          <w:rFonts w:hint="eastAsia" w:ascii="宋体" w:hAnsi="宋体"/>
          <w:sz w:val="32"/>
        </w:rPr>
        <w:t>则</w:t>
      </w:r>
      <w:bookmarkEnd w:id="434"/>
    </w:p>
    <w:p w14:paraId="07329525">
      <w:pPr>
        <w:tabs>
          <w:tab w:val="left" w:pos="3120"/>
        </w:tabs>
        <w:jc w:val="center"/>
        <w:rPr>
          <w:rFonts w:eastAsia="黑体"/>
          <w:sz w:val="32"/>
        </w:rPr>
      </w:pPr>
    </w:p>
    <w:p w14:paraId="69EE6621">
      <w:pPr>
        <w:spacing w:line="400" w:lineRule="exact"/>
        <w:ind w:firstLine="396"/>
        <w:jc w:val="left"/>
        <w:rPr>
          <w:rFonts w:eastAsia="黑体"/>
          <w:sz w:val="28"/>
          <w:szCs w:val="28"/>
        </w:rPr>
      </w:pPr>
      <w:r>
        <w:rPr>
          <w:rFonts w:eastAsia="黑体"/>
          <w:sz w:val="28"/>
          <w:szCs w:val="28"/>
        </w:rPr>
        <w:t xml:space="preserve">601.02  </w:t>
      </w:r>
      <w:r>
        <w:rPr>
          <w:rFonts w:hint="eastAsia" w:eastAsia="黑体"/>
          <w:sz w:val="28"/>
          <w:szCs w:val="28"/>
        </w:rPr>
        <w:t>一般要求</w:t>
      </w:r>
    </w:p>
    <w:p w14:paraId="2A1B12A5">
      <w:pPr>
        <w:tabs>
          <w:tab w:val="left" w:pos="3120"/>
        </w:tabs>
        <w:spacing w:line="400" w:lineRule="exact"/>
        <w:ind w:firstLine="397"/>
      </w:pPr>
      <w:r>
        <w:t>2.</w:t>
      </w:r>
      <w:r>
        <w:rPr>
          <w:rFonts w:hint="eastAsia"/>
        </w:rPr>
        <w:t>道路交通标志</w:t>
      </w:r>
    </w:p>
    <w:p w14:paraId="02949E2B">
      <w:pPr>
        <w:tabs>
          <w:tab w:val="left" w:pos="3120"/>
        </w:tabs>
        <w:spacing w:line="400" w:lineRule="exact"/>
        <w:ind w:firstLine="397"/>
      </w:pPr>
      <w:r>
        <w:rPr>
          <w:rFonts w:hint="eastAsia"/>
        </w:rPr>
        <w:t>第（</w:t>
      </w:r>
      <w:r>
        <w:t>1</w:t>
      </w:r>
      <w:r>
        <w:rPr>
          <w:rFonts w:hint="eastAsia"/>
        </w:rPr>
        <w:t>）款、（</w:t>
      </w:r>
      <w:r>
        <w:t>2</w:t>
      </w:r>
      <w:r>
        <w:rPr>
          <w:rFonts w:hint="eastAsia"/>
        </w:rPr>
        <w:t>）款修改为：</w:t>
      </w:r>
    </w:p>
    <w:p w14:paraId="0F190160">
      <w:pPr>
        <w:spacing w:line="400" w:lineRule="exact"/>
        <w:ind w:firstLine="396"/>
        <w:jc w:val="left"/>
      </w:pPr>
      <w:r>
        <w:rPr>
          <w:rFonts w:hint="eastAsia"/>
        </w:rPr>
        <w:t>（</w:t>
      </w:r>
      <w:r>
        <w:t>1</w:t>
      </w:r>
      <w:r>
        <w:rPr>
          <w:rFonts w:hint="eastAsia"/>
        </w:rPr>
        <w:t>）道路交通标志按《道路交通标志和标线》（</w:t>
      </w:r>
      <w:r>
        <w:t>GB5768-2009</w:t>
      </w:r>
      <w:r>
        <w:rPr>
          <w:rFonts w:hint="eastAsia"/>
        </w:rPr>
        <w:t>）和《道路交通标志板及支撑件》（</w:t>
      </w:r>
      <w:r>
        <w:t>GB/T23827-2009</w:t>
      </w:r>
      <w:r>
        <w:rPr>
          <w:rFonts w:hint="eastAsia"/>
        </w:rPr>
        <w:t>）的规定进行。</w:t>
      </w:r>
    </w:p>
    <w:p w14:paraId="183AA19C">
      <w:pPr>
        <w:spacing w:line="400" w:lineRule="exact"/>
        <w:ind w:firstLine="396"/>
        <w:jc w:val="left"/>
      </w:pPr>
      <w:r>
        <w:rPr>
          <w:rFonts w:hint="eastAsia"/>
        </w:rPr>
        <w:t>（</w:t>
      </w:r>
      <w:r>
        <w:t>2</w:t>
      </w:r>
      <w:r>
        <w:rPr>
          <w:rFonts w:hint="eastAsia"/>
        </w:rPr>
        <w:t>）道路交通标志的反光方法及反光膜级别，应符合图纸规定，如无规定时，应根据不同道路等级和标志类型，按《道路交通标志和标线》（</w:t>
      </w:r>
      <w:r>
        <w:t>GB5768-2009</w:t>
      </w:r>
      <w:r>
        <w:rPr>
          <w:rFonts w:hint="eastAsia"/>
        </w:rPr>
        <w:t>）及《道路交通标志板及支撑件》（</w:t>
      </w:r>
      <w:r>
        <w:t>GB/T23827-2009</w:t>
      </w:r>
      <w:r>
        <w:rPr>
          <w:rFonts w:hint="eastAsia"/>
        </w:rPr>
        <w:t>）的规定办理。</w:t>
      </w:r>
    </w:p>
    <w:p w14:paraId="7BDB2A3A">
      <w:pPr>
        <w:spacing w:line="400" w:lineRule="exact"/>
        <w:ind w:firstLine="396"/>
        <w:jc w:val="left"/>
      </w:pPr>
      <w:r>
        <w:t>3.</w:t>
      </w:r>
      <w:r>
        <w:rPr>
          <w:rFonts w:hint="eastAsia"/>
        </w:rPr>
        <w:t>道路交通标线</w:t>
      </w:r>
    </w:p>
    <w:p w14:paraId="218E4824">
      <w:pPr>
        <w:spacing w:line="400" w:lineRule="exact"/>
        <w:ind w:firstLine="396"/>
        <w:jc w:val="left"/>
      </w:pPr>
      <w:r>
        <w:rPr>
          <w:rFonts w:hint="eastAsia"/>
        </w:rPr>
        <w:t>修改为：</w:t>
      </w:r>
    </w:p>
    <w:p w14:paraId="249EC4FB">
      <w:pPr>
        <w:spacing w:line="400" w:lineRule="exact"/>
        <w:ind w:firstLine="396"/>
        <w:jc w:val="left"/>
      </w:pPr>
      <w:r>
        <w:rPr>
          <w:rFonts w:hint="eastAsia"/>
        </w:rPr>
        <w:t>道路交通标线包括各种路面标线、箭头、文字、立面标记、突出路标和轮廓标等，应按图纸及《道路交通标志和标线》（</w:t>
      </w:r>
      <w:r>
        <w:t>GB5768-2009</w:t>
      </w:r>
      <w:r>
        <w:rPr>
          <w:rFonts w:hint="eastAsia"/>
        </w:rPr>
        <w:t>）的规定设置。</w:t>
      </w:r>
    </w:p>
    <w:p w14:paraId="7D5DFBE7">
      <w:pPr>
        <w:spacing w:line="400" w:lineRule="exact"/>
        <w:ind w:firstLine="396"/>
        <w:jc w:val="left"/>
      </w:pPr>
      <w:r>
        <w:rPr>
          <w:rFonts w:hint="eastAsia"/>
        </w:rPr>
        <w:t>补充第</w:t>
      </w:r>
      <w:r>
        <w:t>5</w:t>
      </w:r>
      <w:r>
        <w:rPr>
          <w:rFonts w:hint="eastAsia"/>
        </w:rPr>
        <w:t>～</w:t>
      </w:r>
      <w:r>
        <w:t>9</w:t>
      </w:r>
      <w:r>
        <w:rPr>
          <w:rFonts w:hint="eastAsia"/>
        </w:rPr>
        <w:t>条：</w:t>
      </w:r>
    </w:p>
    <w:p w14:paraId="125B2F30">
      <w:pPr>
        <w:spacing w:line="400" w:lineRule="exact"/>
        <w:ind w:firstLine="396"/>
        <w:jc w:val="left"/>
      </w:pPr>
      <w:r>
        <w:t xml:space="preserve">5. </w:t>
      </w:r>
      <w:r>
        <w:rPr>
          <w:rFonts w:hint="eastAsia"/>
        </w:rPr>
        <w:t>本章未包括的其它安全设施工程项目，可根据设计文件和其它相关规范由监理人另行制定验收评定标准。</w:t>
      </w:r>
    </w:p>
    <w:p w14:paraId="716EB845">
      <w:pPr>
        <w:spacing w:line="400" w:lineRule="exact"/>
        <w:ind w:firstLine="396"/>
        <w:jc w:val="left"/>
      </w:pPr>
      <w:r>
        <w:t xml:space="preserve">6. </w:t>
      </w:r>
      <w:r>
        <w:rPr>
          <w:rFonts w:hint="eastAsia"/>
        </w:rPr>
        <w:t>交通工程设施产品必须经监理人检验合格后，方可使用。</w:t>
      </w:r>
    </w:p>
    <w:p w14:paraId="02E06F41">
      <w:pPr>
        <w:spacing w:line="400" w:lineRule="exact"/>
        <w:ind w:firstLine="396"/>
        <w:jc w:val="left"/>
      </w:pPr>
      <w:r>
        <w:t xml:space="preserve">7. </w:t>
      </w:r>
      <w:r>
        <w:rPr>
          <w:rFonts w:hint="eastAsia"/>
        </w:rPr>
        <w:t>外购产品必须满足规范要求，具有产品合格证，并经承包人检验、监理人确认，满足设计要求后方可使用。</w:t>
      </w:r>
    </w:p>
    <w:p w14:paraId="1BAF437E">
      <w:pPr>
        <w:spacing w:line="400" w:lineRule="exact"/>
        <w:ind w:firstLine="396"/>
        <w:jc w:val="left"/>
      </w:pPr>
      <w:r>
        <w:t xml:space="preserve">8. </w:t>
      </w:r>
      <w:r>
        <w:rPr>
          <w:rFonts w:hint="eastAsia"/>
        </w:rPr>
        <w:t>安全设施采用钢质材料时，必须按图纸要求及相关规范规定进行防腐处理。</w:t>
      </w:r>
    </w:p>
    <w:p w14:paraId="1500F186">
      <w:pPr>
        <w:spacing w:line="400" w:lineRule="exact"/>
        <w:ind w:firstLine="396"/>
        <w:jc w:val="left"/>
      </w:pPr>
      <w:r>
        <w:t xml:space="preserve">9. </w:t>
      </w:r>
      <w:r>
        <w:rPr>
          <w:rFonts w:hint="eastAsia"/>
        </w:rPr>
        <w:t>构件用螺栓组合时，螺栓、垫圈的用量应满足设计要求，具有防盗结构并须拧紧。</w:t>
      </w:r>
    </w:p>
    <w:p w14:paraId="6A14C658">
      <w:pPr>
        <w:tabs>
          <w:tab w:val="left" w:pos="3120"/>
        </w:tabs>
        <w:jc w:val="center"/>
        <w:rPr>
          <w:rFonts w:eastAsia="黑体"/>
          <w:sz w:val="32"/>
        </w:rPr>
      </w:pPr>
    </w:p>
    <w:p w14:paraId="34C2F23E">
      <w:pPr>
        <w:pStyle w:val="7"/>
        <w:rPr>
          <w:rFonts w:ascii="宋体" w:hAnsi="宋体"/>
          <w:sz w:val="32"/>
        </w:rPr>
      </w:pPr>
      <w:bookmarkStart w:id="435" w:name="_Toc154675190"/>
      <w:r>
        <w:rPr>
          <w:rFonts w:hint="eastAsia" w:ascii="宋体" w:hAnsi="宋体"/>
          <w:sz w:val="32"/>
        </w:rPr>
        <w:t>第</w:t>
      </w:r>
      <w:r>
        <w:rPr>
          <w:rFonts w:ascii="宋体" w:hAnsi="宋体"/>
          <w:sz w:val="32"/>
        </w:rPr>
        <w:t>602</w:t>
      </w:r>
      <w:r>
        <w:rPr>
          <w:rFonts w:hint="eastAsia" w:ascii="宋体" w:hAnsi="宋体"/>
          <w:sz w:val="32"/>
        </w:rPr>
        <w:t>节</w:t>
      </w:r>
      <w:r>
        <w:rPr>
          <w:rFonts w:ascii="宋体" w:hAnsi="宋体"/>
          <w:sz w:val="32"/>
        </w:rPr>
        <w:t xml:space="preserve">  </w:t>
      </w:r>
      <w:r>
        <w:rPr>
          <w:rFonts w:hint="eastAsia" w:ascii="宋体" w:hAnsi="宋体"/>
          <w:sz w:val="32"/>
        </w:rPr>
        <w:t>护</w:t>
      </w:r>
      <w:r>
        <w:rPr>
          <w:rFonts w:ascii="宋体" w:hAnsi="宋体"/>
          <w:sz w:val="32"/>
        </w:rPr>
        <w:t xml:space="preserve"> </w:t>
      </w:r>
      <w:r>
        <w:rPr>
          <w:rFonts w:hint="eastAsia" w:ascii="宋体" w:hAnsi="宋体"/>
          <w:sz w:val="32"/>
        </w:rPr>
        <w:t>栏</w:t>
      </w:r>
      <w:bookmarkEnd w:id="435"/>
    </w:p>
    <w:p w14:paraId="38D44397">
      <w:pPr>
        <w:spacing w:line="400" w:lineRule="exact"/>
        <w:jc w:val="left"/>
        <w:rPr>
          <w:rFonts w:eastAsia="黑体"/>
          <w:sz w:val="28"/>
          <w:szCs w:val="28"/>
        </w:rPr>
      </w:pPr>
      <w:r>
        <w:rPr>
          <w:rFonts w:eastAsia="黑体"/>
          <w:sz w:val="28"/>
          <w:szCs w:val="28"/>
        </w:rPr>
        <w:t xml:space="preserve">602.02  </w:t>
      </w:r>
      <w:r>
        <w:rPr>
          <w:rFonts w:hint="eastAsia" w:eastAsia="黑体"/>
          <w:sz w:val="28"/>
          <w:szCs w:val="28"/>
        </w:rPr>
        <w:t>材料</w:t>
      </w:r>
    </w:p>
    <w:p w14:paraId="2EA45F8D">
      <w:pPr>
        <w:spacing w:line="400" w:lineRule="exact"/>
        <w:ind w:firstLine="420" w:firstLineChars="200"/>
        <w:jc w:val="left"/>
      </w:pPr>
      <w:r>
        <w:t>3.</w:t>
      </w:r>
      <w:r>
        <w:rPr>
          <w:rFonts w:hint="eastAsia"/>
        </w:rPr>
        <w:t>波形梁钢护栏产品质量要求</w:t>
      </w:r>
    </w:p>
    <w:p w14:paraId="6E14D610">
      <w:pPr>
        <w:spacing w:line="400" w:lineRule="exact"/>
        <w:ind w:firstLine="420" w:firstLineChars="200"/>
        <w:jc w:val="left"/>
      </w:pPr>
      <w:r>
        <w:rPr>
          <w:rFonts w:hint="eastAsia"/>
        </w:rPr>
        <w:t>第（</w:t>
      </w:r>
      <w:r>
        <w:t>9</w:t>
      </w:r>
      <w:r>
        <w:rPr>
          <w:rFonts w:hint="eastAsia"/>
        </w:rPr>
        <w:t>）款后补充：</w:t>
      </w:r>
    </w:p>
    <w:p w14:paraId="24C07FA8">
      <w:pPr>
        <w:spacing w:line="400" w:lineRule="exact"/>
        <w:ind w:firstLine="420" w:firstLineChars="200"/>
      </w:pPr>
      <w:r>
        <w:rPr>
          <w:rFonts w:hint="eastAsia"/>
        </w:rPr>
        <w:t>螺栓、螺母等紧固件和连接件在防腐处理后，必须清理螺纹或进行离心分离处理。</w:t>
      </w:r>
    </w:p>
    <w:p w14:paraId="7CD80D00">
      <w:pPr>
        <w:spacing w:line="400" w:lineRule="exact"/>
        <w:ind w:firstLine="396"/>
        <w:jc w:val="left"/>
      </w:pPr>
      <w:r>
        <w:rPr>
          <w:rFonts w:hint="eastAsia"/>
        </w:rPr>
        <w:t>补充第</w:t>
      </w:r>
      <w:r>
        <w:t>9</w:t>
      </w:r>
      <w:r>
        <w:rPr>
          <w:rFonts w:hint="eastAsia"/>
        </w:rPr>
        <w:t>条：</w:t>
      </w:r>
    </w:p>
    <w:p w14:paraId="61A2055B">
      <w:pPr>
        <w:spacing w:line="400" w:lineRule="exact"/>
        <w:ind w:firstLine="396"/>
        <w:jc w:val="left"/>
      </w:pPr>
      <w:r>
        <w:t>9.</w:t>
      </w:r>
      <w:r>
        <w:rPr>
          <w:rFonts w:hint="eastAsia"/>
        </w:rPr>
        <w:t>活动护栏应选用防撞等级达到</w:t>
      </w:r>
      <w:r>
        <w:t>Am</w:t>
      </w:r>
      <w:r>
        <w:rPr>
          <w:rFonts w:hint="eastAsia"/>
        </w:rPr>
        <w:t>级、同时要求整体打开时间快捷方便不宜大于</w:t>
      </w:r>
      <w:r>
        <w:t>30</w:t>
      </w:r>
      <w:r>
        <w:rPr>
          <w:rFonts w:hint="eastAsia"/>
        </w:rPr>
        <w:t>分钟且施工时不应在中分带路面取芯、钻孔、开挖等从而损坏路面的产品，采购前应向监理人、设计人、发包人提供厂家检测资料、实车碰撞报告后方可实施。</w:t>
      </w:r>
    </w:p>
    <w:p w14:paraId="2BBD0958">
      <w:pPr>
        <w:spacing w:line="400" w:lineRule="exact"/>
        <w:ind w:firstLine="396"/>
        <w:jc w:val="left"/>
      </w:pPr>
      <w:r>
        <w:rPr>
          <w:rFonts w:hint="eastAsia"/>
        </w:rPr>
        <w:t>本章未包括的其它安全设施工程项目，可根据设计文件和其它相关规范由监理人另行制定验收评定标准。</w:t>
      </w:r>
    </w:p>
    <w:p w14:paraId="1C114816">
      <w:pPr>
        <w:spacing w:line="500" w:lineRule="exact"/>
        <w:jc w:val="center"/>
        <w:rPr>
          <w:rFonts w:eastAsia="黑体"/>
          <w:w w:val="85"/>
          <w:sz w:val="48"/>
        </w:rPr>
      </w:pPr>
      <w:r>
        <w:rPr>
          <w:rFonts w:eastAsia="黑体"/>
          <w:w w:val="85"/>
          <w:sz w:val="48"/>
        </w:rPr>
        <w:br w:type="page"/>
      </w:r>
    </w:p>
    <w:p w14:paraId="6622E6CC">
      <w:pPr>
        <w:tabs>
          <w:tab w:val="left" w:pos="3120"/>
        </w:tabs>
        <w:jc w:val="center"/>
        <w:outlineLvl w:val="2"/>
        <w:rPr>
          <w:rFonts w:eastAsia="黑体"/>
          <w:sz w:val="44"/>
        </w:rPr>
      </w:pPr>
      <w:bookmarkStart w:id="436" w:name="_Toc154675191"/>
      <w:bookmarkStart w:id="437" w:name="_Toc484679345"/>
      <w:bookmarkStart w:id="438" w:name="_Toc25810"/>
      <w:r>
        <w:rPr>
          <w:rFonts w:hint="eastAsia" w:eastAsia="黑体"/>
          <w:sz w:val="44"/>
        </w:rPr>
        <w:t>第</w:t>
      </w:r>
      <w:r>
        <w:rPr>
          <w:rFonts w:eastAsia="黑体"/>
          <w:sz w:val="44"/>
        </w:rPr>
        <w:t>700</w:t>
      </w:r>
      <w:r>
        <w:rPr>
          <w:rFonts w:hint="eastAsia" w:eastAsia="黑体"/>
          <w:sz w:val="44"/>
        </w:rPr>
        <w:t>章</w:t>
      </w:r>
      <w:r>
        <w:rPr>
          <w:rFonts w:eastAsia="黑体"/>
          <w:sz w:val="44"/>
        </w:rPr>
        <w:t xml:space="preserve">  </w:t>
      </w:r>
      <w:r>
        <w:rPr>
          <w:rFonts w:hint="eastAsia" w:eastAsia="黑体"/>
          <w:sz w:val="44"/>
        </w:rPr>
        <w:t>绿化及环境保护设施</w:t>
      </w:r>
      <w:bookmarkEnd w:id="436"/>
      <w:bookmarkEnd w:id="437"/>
      <w:bookmarkEnd w:id="438"/>
    </w:p>
    <w:p w14:paraId="40EC2CBF">
      <w:pPr>
        <w:spacing w:line="460" w:lineRule="exact"/>
      </w:pPr>
    </w:p>
    <w:p w14:paraId="2575E212">
      <w:pPr>
        <w:pStyle w:val="7"/>
        <w:rPr>
          <w:rFonts w:ascii="宋体" w:hAnsi="宋体"/>
          <w:sz w:val="32"/>
        </w:rPr>
      </w:pPr>
      <w:bookmarkStart w:id="439" w:name="_Toc154675192"/>
      <w:r>
        <w:rPr>
          <w:rFonts w:hint="eastAsia" w:ascii="宋体" w:hAnsi="宋体"/>
          <w:sz w:val="32"/>
        </w:rPr>
        <w:t>第</w:t>
      </w:r>
      <w:r>
        <w:rPr>
          <w:rFonts w:ascii="宋体" w:hAnsi="宋体"/>
          <w:sz w:val="32"/>
        </w:rPr>
        <w:t>701</w:t>
      </w:r>
      <w:r>
        <w:rPr>
          <w:rFonts w:hint="eastAsia" w:ascii="宋体" w:hAnsi="宋体"/>
          <w:sz w:val="32"/>
        </w:rPr>
        <w:t>节</w:t>
      </w:r>
      <w:r>
        <w:rPr>
          <w:rFonts w:ascii="宋体" w:hAnsi="宋体"/>
          <w:sz w:val="32"/>
        </w:rPr>
        <w:t xml:space="preserve">  </w:t>
      </w:r>
      <w:r>
        <w:rPr>
          <w:rFonts w:hint="eastAsia" w:ascii="宋体" w:hAnsi="宋体"/>
          <w:sz w:val="32"/>
        </w:rPr>
        <w:t>通</w:t>
      </w:r>
      <w:r>
        <w:rPr>
          <w:rFonts w:ascii="宋体" w:hAnsi="宋体"/>
          <w:sz w:val="32"/>
        </w:rPr>
        <w:t xml:space="preserve"> </w:t>
      </w:r>
      <w:r>
        <w:rPr>
          <w:rFonts w:hint="eastAsia" w:ascii="宋体" w:hAnsi="宋体"/>
          <w:sz w:val="32"/>
        </w:rPr>
        <w:t>则</w:t>
      </w:r>
      <w:bookmarkEnd w:id="439"/>
    </w:p>
    <w:p w14:paraId="25A877B3">
      <w:pPr>
        <w:spacing w:line="380" w:lineRule="exact"/>
        <w:ind w:firstLine="405"/>
        <w:rPr>
          <w:rFonts w:eastAsia="黑体"/>
          <w:sz w:val="28"/>
          <w:szCs w:val="28"/>
        </w:rPr>
      </w:pPr>
      <w:r>
        <w:rPr>
          <w:rFonts w:eastAsia="黑体"/>
          <w:sz w:val="28"/>
          <w:szCs w:val="28"/>
        </w:rPr>
        <w:t xml:space="preserve">701.02  </w:t>
      </w:r>
      <w:r>
        <w:rPr>
          <w:rFonts w:hint="eastAsia" w:eastAsia="黑体"/>
          <w:sz w:val="28"/>
          <w:szCs w:val="28"/>
        </w:rPr>
        <w:t>一般规定</w:t>
      </w:r>
    </w:p>
    <w:p w14:paraId="56C5EF2C">
      <w:pPr>
        <w:spacing w:line="380" w:lineRule="exact"/>
        <w:ind w:firstLine="405"/>
      </w:pPr>
      <w:r>
        <w:t>1.</w:t>
      </w:r>
      <w:r>
        <w:rPr>
          <w:rFonts w:hint="eastAsia"/>
        </w:rPr>
        <w:t>绿化工程</w:t>
      </w:r>
    </w:p>
    <w:p w14:paraId="379DFEE1">
      <w:pPr>
        <w:spacing w:line="380" w:lineRule="exact"/>
        <w:ind w:firstLine="405"/>
      </w:pPr>
      <w:r>
        <w:rPr>
          <w:rFonts w:hint="eastAsia"/>
        </w:rPr>
        <w:t>补充第（</w:t>
      </w:r>
      <w:r>
        <w:t>8</w:t>
      </w:r>
      <w:r>
        <w:rPr>
          <w:rFonts w:hint="eastAsia"/>
        </w:rPr>
        <w:t>）款：</w:t>
      </w:r>
    </w:p>
    <w:p w14:paraId="7BE27359">
      <w:pPr>
        <w:spacing w:line="380" w:lineRule="exact"/>
        <w:ind w:firstLine="405"/>
      </w:pPr>
      <w:r>
        <w:rPr>
          <w:rFonts w:hint="eastAsia"/>
        </w:rPr>
        <w:t>（</w:t>
      </w:r>
      <w:r>
        <w:t>8</w:t>
      </w:r>
      <w:r>
        <w:rPr>
          <w:rFonts w:hint="eastAsia"/>
        </w:rPr>
        <w:t>）如果承包人预防措施不力，并已对路面结构和邻近区域的环境卫生造成了污染，给当地农民造成损失，</w:t>
      </w:r>
      <w:r>
        <w:t xml:space="preserve"> </w:t>
      </w:r>
      <w:r>
        <w:rPr>
          <w:rFonts w:hint="eastAsia"/>
        </w:rPr>
        <w:t>或由于扬尘、排污、噪声、材料漏失等对周围居民和环境造成的损失，则由此而引发的一切损失及后果，应由承包人负责。</w:t>
      </w:r>
    </w:p>
    <w:p w14:paraId="48D41459">
      <w:pPr>
        <w:spacing w:line="380" w:lineRule="exact"/>
        <w:ind w:firstLine="405"/>
      </w:pPr>
    </w:p>
    <w:p w14:paraId="7F291A6C">
      <w:pPr>
        <w:pStyle w:val="7"/>
        <w:rPr>
          <w:rFonts w:ascii="宋体" w:hAnsi="宋体"/>
          <w:sz w:val="32"/>
        </w:rPr>
      </w:pPr>
      <w:bookmarkStart w:id="440" w:name="_Toc154675193"/>
      <w:r>
        <w:rPr>
          <w:rFonts w:hint="eastAsia" w:ascii="宋体" w:hAnsi="宋体"/>
          <w:sz w:val="32"/>
        </w:rPr>
        <w:t>第</w:t>
      </w:r>
      <w:r>
        <w:rPr>
          <w:rFonts w:ascii="宋体" w:hAnsi="宋体"/>
          <w:sz w:val="32"/>
        </w:rPr>
        <w:t>702</w:t>
      </w:r>
      <w:r>
        <w:rPr>
          <w:rFonts w:hint="eastAsia" w:ascii="宋体" w:hAnsi="宋体"/>
          <w:sz w:val="32"/>
        </w:rPr>
        <w:t>节</w:t>
      </w:r>
      <w:r>
        <w:rPr>
          <w:rFonts w:ascii="宋体" w:hAnsi="宋体"/>
          <w:sz w:val="32"/>
        </w:rPr>
        <w:t xml:space="preserve">  </w:t>
      </w:r>
      <w:r>
        <w:rPr>
          <w:rFonts w:hint="eastAsia" w:ascii="宋体" w:hAnsi="宋体"/>
          <w:sz w:val="32"/>
        </w:rPr>
        <w:t>铺设表土</w:t>
      </w:r>
      <w:bookmarkEnd w:id="440"/>
    </w:p>
    <w:p w14:paraId="4C7286AB">
      <w:pPr>
        <w:tabs>
          <w:tab w:val="left" w:pos="3120"/>
        </w:tabs>
        <w:spacing w:line="360" w:lineRule="auto"/>
        <w:ind w:firstLine="397"/>
      </w:pPr>
    </w:p>
    <w:p w14:paraId="666F4E22">
      <w:pPr>
        <w:spacing w:line="380" w:lineRule="exact"/>
        <w:ind w:firstLine="405"/>
        <w:rPr>
          <w:rFonts w:eastAsia="黑体"/>
          <w:sz w:val="28"/>
          <w:szCs w:val="28"/>
        </w:rPr>
      </w:pPr>
      <w:r>
        <w:rPr>
          <w:rFonts w:eastAsia="黑体"/>
          <w:sz w:val="28"/>
          <w:szCs w:val="28"/>
        </w:rPr>
        <w:t xml:space="preserve">702.03  </w:t>
      </w:r>
      <w:r>
        <w:rPr>
          <w:rFonts w:hint="eastAsia" w:eastAsia="黑体"/>
          <w:sz w:val="28"/>
          <w:szCs w:val="28"/>
        </w:rPr>
        <w:t>施工要求</w:t>
      </w:r>
    </w:p>
    <w:p w14:paraId="4696BE7C">
      <w:pPr>
        <w:spacing w:line="380" w:lineRule="exact"/>
        <w:ind w:firstLine="405"/>
      </w:pPr>
      <w:r>
        <w:t>3</w:t>
      </w:r>
      <w:r>
        <w:rPr>
          <w:rFonts w:hint="eastAsia"/>
        </w:rPr>
        <w:t>．铺设</w:t>
      </w:r>
    </w:p>
    <w:p w14:paraId="41DB7C3B">
      <w:pPr>
        <w:spacing w:line="380" w:lineRule="exact"/>
        <w:ind w:firstLine="405"/>
      </w:pPr>
      <w:r>
        <w:rPr>
          <w:rFonts w:hint="eastAsia"/>
        </w:rPr>
        <w:t>表</w:t>
      </w:r>
      <w:r>
        <w:t>702-1</w:t>
      </w:r>
      <w:r>
        <w:rPr>
          <w:rFonts w:hint="eastAsia"/>
        </w:rPr>
        <w:t>修改为：</w:t>
      </w:r>
    </w:p>
    <w:p w14:paraId="7761F503">
      <w:pPr>
        <w:spacing w:before="120" w:beforeLines="50" w:line="380" w:lineRule="exact"/>
        <w:ind w:firstLine="403"/>
        <w:jc w:val="center"/>
        <w:rPr>
          <w:rFonts w:eastAsia="黑体"/>
        </w:rPr>
      </w:pPr>
      <w:r>
        <w:rPr>
          <w:rFonts w:hint="eastAsia" w:eastAsia="黑体"/>
        </w:rPr>
        <w:t>植物生长的最小土层厚度</w:t>
      </w:r>
    </w:p>
    <w:p w14:paraId="46460211">
      <w:pPr>
        <w:spacing w:line="380" w:lineRule="exact"/>
        <w:ind w:firstLine="405"/>
        <w:jc w:val="right"/>
        <w:rPr>
          <w:rFonts w:eastAsia="黑体"/>
        </w:rPr>
      </w:pPr>
      <w:r>
        <w:rPr>
          <w:rFonts w:hint="eastAsia" w:eastAsia="黑体"/>
        </w:rPr>
        <w:t>表</w:t>
      </w:r>
      <w:r>
        <w:rPr>
          <w:rFonts w:eastAsia="黑体"/>
        </w:rPr>
        <w:t>702-1</w:t>
      </w:r>
    </w:p>
    <w:tbl>
      <w:tblPr>
        <w:tblStyle w:val="44"/>
        <w:tblW w:w="4732" w:type="pct"/>
        <w:tblInd w:w="4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039"/>
        <w:gridCol w:w="4530"/>
      </w:tblGrid>
      <w:tr w14:paraId="5B6A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0E20E8B0">
            <w:pPr>
              <w:spacing w:line="380" w:lineRule="exact"/>
              <w:jc w:val="center"/>
            </w:pPr>
            <w:r>
              <w:rPr>
                <w:rFonts w:hint="eastAsia"/>
              </w:rPr>
              <w:t>植物种类</w:t>
            </w:r>
          </w:p>
        </w:tc>
        <w:tc>
          <w:tcPr>
            <w:tcW w:w="2643" w:type="pct"/>
            <w:vAlign w:val="center"/>
          </w:tcPr>
          <w:p w14:paraId="47B56443">
            <w:pPr>
              <w:spacing w:line="380" w:lineRule="exact"/>
              <w:jc w:val="center"/>
            </w:pPr>
            <w:r>
              <w:rPr>
                <w:rFonts w:hint="eastAsia"/>
              </w:rPr>
              <w:t>植物生长的最小土层厚度（</w:t>
            </w:r>
            <w:r>
              <w:t>m</w:t>
            </w:r>
            <w:r>
              <w:rPr>
                <w:rFonts w:hint="eastAsia"/>
              </w:rPr>
              <w:t>）</w:t>
            </w:r>
          </w:p>
        </w:tc>
      </w:tr>
      <w:tr w14:paraId="404E1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2EB0CD07">
            <w:pPr>
              <w:spacing w:line="380" w:lineRule="exact"/>
              <w:jc w:val="center"/>
            </w:pPr>
            <w:r>
              <w:rPr>
                <w:rFonts w:hint="eastAsia"/>
              </w:rPr>
              <w:t>草本花卉、草本植被</w:t>
            </w:r>
          </w:p>
        </w:tc>
        <w:tc>
          <w:tcPr>
            <w:tcW w:w="2643" w:type="pct"/>
            <w:vAlign w:val="center"/>
          </w:tcPr>
          <w:p w14:paraId="3A8AA1EB">
            <w:pPr>
              <w:spacing w:line="380" w:lineRule="exact"/>
              <w:jc w:val="center"/>
            </w:pPr>
            <w:r>
              <w:t>0.40</w:t>
            </w:r>
          </w:p>
        </w:tc>
      </w:tr>
      <w:tr w14:paraId="2EED9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44D16109">
            <w:pPr>
              <w:spacing w:line="380" w:lineRule="exact"/>
              <w:jc w:val="center"/>
            </w:pPr>
            <w:r>
              <w:rPr>
                <w:rFonts w:hint="eastAsia"/>
              </w:rPr>
              <w:t>小灌木</w:t>
            </w:r>
          </w:p>
        </w:tc>
        <w:tc>
          <w:tcPr>
            <w:tcW w:w="2643" w:type="pct"/>
            <w:vAlign w:val="center"/>
          </w:tcPr>
          <w:p w14:paraId="5527114E">
            <w:pPr>
              <w:spacing w:line="380" w:lineRule="exact"/>
              <w:jc w:val="center"/>
            </w:pPr>
            <w:r>
              <w:t>0.45</w:t>
            </w:r>
          </w:p>
        </w:tc>
      </w:tr>
      <w:tr w14:paraId="3C238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03211992">
            <w:pPr>
              <w:spacing w:line="380" w:lineRule="exact"/>
              <w:jc w:val="center"/>
            </w:pPr>
            <w:r>
              <w:rPr>
                <w:rFonts w:hint="eastAsia"/>
              </w:rPr>
              <w:t>大灌木</w:t>
            </w:r>
          </w:p>
        </w:tc>
        <w:tc>
          <w:tcPr>
            <w:tcW w:w="2643" w:type="pct"/>
            <w:vAlign w:val="center"/>
          </w:tcPr>
          <w:p w14:paraId="4B8FF053">
            <w:pPr>
              <w:spacing w:line="380" w:lineRule="exact"/>
              <w:jc w:val="center"/>
            </w:pPr>
            <w:r>
              <w:t>0.60</w:t>
            </w:r>
          </w:p>
        </w:tc>
      </w:tr>
      <w:tr w14:paraId="60FB5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460E11D7">
            <w:pPr>
              <w:spacing w:line="380" w:lineRule="exact"/>
              <w:jc w:val="center"/>
            </w:pPr>
            <w:r>
              <w:rPr>
                <w:rFonts w:hint="eastAsia"/>
              </w:rPr>
              <w:t>浅根乔木</w:t>
            </w:r>
          </w:p>
        </w:tc>
        <w:tc>
          <w:tcPr>
            <w:tcW w:w="2643" w:type="pct"/>
            <w:vAlign w:val="center"/>
          </w:tcPr>
          <w:p w14:paraId="4B268FAE">
            <w:pPr>
              <w:spacing w:line="380" w:lineRule="exact"/>
              <w:jc w:val="center"/>
            </w:pPr>
            <w:r>
              <w:t>0.90</w:t>
            </w:r>
          </w:p>
        </w:tc>
      </w:tr>
      <w:tr w14:paraId="64BF1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2357" w:type="pct"/>
            <w:vAlign w:val="center"/>
          </w:tcPr>
          <w:p w14:paraId="7C23BA30">
            <w:pPr>
              <w:spacing w:line="380" w:lineRule="exact"/>
              <w:jc w:val="center"/>
            </w:pPr>
            <w:r>
              <w:rPr>
                <w:rFonts w:hint="eastAsia"/>
              </w:rPr>
              <w:t>深根乔木</w:t>
            </w:r>
          </w:p>
        </w:tc>
        <w:tc>
          <w:tcPr>
            <w:tcW w:w="2643" w:type="pct"/>
            <w:vAlign w:val="center"/>
          </w:tcPr>
          <w:p w14:paraId="6AE1F443">
            <w:pPr>
              <w:spacing w:line="380" w:lineRule="exact"/>
              <w:jc w:val="center"/>
            </w:pPr>
            <w:r>
              <w:t>1.50</w:t>
            </w:r>
          </w:p>
        </w:tc>
      </w:tr>
    </w:tbl>
    <w:p w14:paraId="412DA19E">
      <w:pPr>
        <w:spacing w:line="380" w:lineRule="exact"/>
        <w:ind w:firstLine="405"/>
      </w:pPr>
    </w:p>
    <w:p w14:paraId="72975D30">
      <w:pPr>
        <w:pStyle w:val="7"/>
        <w:rPr>
          <w:rFonts w:ascii="宋体" w:hAnsi="宋体"/>
          <w:sz w:val="32"/>
        </w:rPr>
      </w:pPr>
      <w:bookmarkStart w:id="441" w:name="_Toc154675194"/>
      <w:r>
        <w:rPr>
          <w:rFonts w:hint="eastAsia" w:ascii="宋体" w:hAnsi="宋体"/>
          <w:sz w:val="32"/>
        </w:rPr>
        <w:t>第</w:t>
      </w:r>
      <w:r>
        <w:rPr>
          <w:rFonts w:ascii="宋体" w:hAnsi="宋体"/>
          <w:sz w:val="32"/>
        </w:rPr>
        <w:t>703</w:t>
      </w:r>
      <w:r>
        <w:rPr>
          <w:rFonts w:hint="eastAsia" w:ascii="宋体" w:hAnsi="宋体"/>
          <w:sz w:val="32"/>
        </w:rPr>
        <w:t>节</w:t>
      </w:r>
      <w:r>
        <w:rPr>
          <w:rFonts w:ascii="宋体" w:hAnsi="宋体"/>
          <w:sz w:val="32"/>
        </w:rPr>
        <w:t xml:space="preserve">  </w:t>
      </w:r>
      <w:r>
        <w:rPr>
          <w:rFonts w:hint="eastAsia" w:ascii="宋体" w:hAnsi="宋体"/>
          <w:sz w:val="32"/>
        </w:rPr>
        <w:t>撒播草种和铺植草皮</w:t>
      </w:r>
      <w:bookmarkEnd w:id="441"/>
    </w:p>
    <w:p w14:paraId="3E47EA41">
      <w:pPr>
        <w:spacing w:line="380" w:lineRule="exact"/>
        <w:ind w:firstLine="405"/>
      </w:pPr>
    </w:p>
    <w:p w14:paraId="29C36783">
      <w:pPr>
        <w:spacing w:line="380" w:lineRule="exact"/>
        <w:ind w:firstLine="405"/>
        <w:rPr>
          <w:rFonts w:eastAsia="黑体"/>
          <w:sz w:val="28"/>
          <w:szCs w:val="28"/>
        </w:rPr>
      </w:pPr>
      <w:r>
        <w:rPr>
          <w:rFonts w:eastAsia="黑体"/>
          <w:sz w:val="28"/>
          <w:szCs w:val="28"/>
        </w:rPr>
        <w:t xml:space="preserve">703.02  </w:t>
      </w:r>
      <w:r>
        <w:rPr>
          <w:rFonts w:hint="eastAsia" w:eastAsia="黑体"/>
          <w:sz w:val="28"/>
          <w:szCs w:val="28"/>
        </w:rPr>
        <w:t>材料</w:t>
      </w:r>
    </w:p>
    <w:p w14:paraId="1F217253">
      <w:pPr>
        <w:spacing w:line="380" w:lineRule="exact"/>
        <w:ind w:firstLine="405"/>
      </w:pPr>
      <w:r>
        <w:t xml:space="preserve">2. </w:t>
      </w:r>
      <w:r>
        <w:rPr>
          <w:rFonts w:hint="eastAsia"/>
        </w:rPr>
        <w:t>草皮</w:t>
      </w:r>
    </w:p>
    <w:p w14:paraId="17013DC4">
      <w:pPr>
        <w:spacing w:line="380" w:lineRule="exact"/>
        <w:ind w:firstLine="405"/>
      </w:pPr>
      <w:r>
        <w:rPr>
          <w:rFonts w:hint="eastAsia"/>
        </w:rPr>
        <w:t>第（</w:t>
      </w:r>
      <w:r>
        <w:t>3</w:t>
      </w:r>
      <w:r>
        <w:rPr>
          <w:rFonts w:hint="eastAsia"/>
        </w:rPr>
        <w:t>）款修改为：</w:t>
      </w:r>
    </w:p>
    <w:p w14:paraId="1A3785A2">
      <w:pPr>
        <w:spacing w:line="380" w:lineRule="exact"/>
        <w:ind w:firstLine="405"/>
      </w:pPr>
      <w:r>
        <w:rPr>
          <w:rFonts w:hint="eastAsia"/>
        </w:rPr>
        <w:t>（</w:t>
      </w:r>
      <w:r>
        <w:t>3</w:t>
      </w:r>
      <w:r>
        <w:rPr>
          <w:rFonts w:hint="eastAsia"/>
        </w:rPr>
        <w:t>）播种用的草籽、草花、地被植物种子应注明品种、品系、产地、生产单位、采收年份、纯净度及发芽率，不得有病虫害。自外地引进种子应有检疫合格证。发芽率达</w:t>
      </w:r>
      <w:r>
        <w:t>95</w:t>
      </w:r>
      <w:r>
        <w:rPr>
          <w:rFonts w:hint="eastAsia"/>
        </w:rPr>
        <w:t>％以上的方可使用。</w:t>
      </w:r>
    </w:p>
    <w:p w14:paraId="22947903">
      <w:pPr>
        <w:spacing w:line="380" w:lineRule="exact"/>
        <w:ind w:firstLine="405"/>
        <w:rPr>
          <w:rFonts w:eastAsia="黑体"/>
          <w:sz w:val="28"/>
          <w:szCs w:val="28"/>
        </w:rPr>
      </w:pPr>
      <w:r>
        <w:rPr>
          <w:rFonts w:eastAsia="黑体"/>
          <w:sz w:val="28"/>
          <w:szCs w:val="28"/>
        </w:rPr>
        <w:t xml:space="preserve">703.03  </w:t>
      </w:r>
      <w:r>
        <w:rPr>
          <w:rFonts w:hint="eastAsia" w:eastAsia="黑体"/>
          <w:sz w:val="28"/>
          <w:szCs w:val="28"/>
        </w:rPr>
        <w:t>施工要求</w:t>
      </w:r>
    </w:p>
    <w:p w14:paraId="6BFA32F3">
      <w:pPr>
        <w:spacing w:line="380" w:lineRule="exact"/>
        <w:ind w:firstLine="405"/>
      </w:pPr>
      <w:r>
        <w:t>1</w:t>
      </w:r>
      <w:r>
        <w:rPr>
          <w:rFonts w:hint="eastAsia"/>
        </w:rPr>
        <w:t>．撒播草种</w:t>
      </w:r>
    </w:p>
    <w:p w14:paraId="25E2E0AF">
      <w:pPr>
        <w:spacing w:line="380" w:lineRule="exact"/>
        <w:ind w:firstLine="405"/>
      </w:pPr>
      <w:r>
        <w:rPr>
          <w:rFonts w:hint="eastAsia"/>
        </w:rPr>
        <w:t>（</w:t>
      </w:r>
      <w:r>
        <w:t>2</w:t>
      </w:r>
      <w:r>
        <w:rPr>
          <w:rFonts w:hint="eastAsia"/>
        </w:rPr>
        <w:t>）播种方法及用量</w:t>
      </w:r>
    </w:p>
    <w:p w14:paraId="6038B997">
      <w:pPr>
        <w:spacing w:line="380" w:lineRule="exact"/>
        <w:ind w:firstLine="405"/>
      </w:pPr>
      <w:r>
        <w:rPr>
          <w:rFonts w:hint="eastAsia"/>
        </w:rPr>
        <w:t>第</w:t>
      </w:r>
      <w:r>
        <w:t>g</w:t>
      </w:r>
      <w:r>
        <w:rPr>
          <w:rFonts w:hint="eastAsia"/>
        </w:rPr>
        <w:t>项修改为：</w:t>
      </w:r>
    </w:p>
    <w:p w14:paraId="23B0254D">
      <w:pPr>
        <w:spacing w:line="380" w:lineRule="exact"/>
        <w:ind w:firstLine="405"/>
      </w:pPr>
      <w:r>
        <w:t>g</w:t>
      </w:r>
      <w:r>
        <w:rPr>
          <w:rFonts w:hint="eastAsia"/>
        </w:rPr>
        <w:t>．将采用的草籽和混合肥料拌和，均匀地撒播到已准备好的表土区内。也可在播种前不多于</w:t>
      </w:r>
      <w:r>
        <w:t>48h</w:t>
      </w:r>
      <w:r>
        <w:rPr>
          <w:rFonts w:hint="eastAsia"/>
        </w:rPr>
        <w:t>施肥，使肥料深入到表土层内，化肥的施肥量每</w:t>
      </w:r>
      <w:r>
        <w:t>1000m</w:t>
      </w:r>
      <w:r>
        <w:rPr>
          <w:vertAlign w:val="superscript"/>
        </w:rPr>
        <w:t>2</w:t>
      </w:r>
      <w:r>
        <w:rPr>
          <w:rFonts w:hint="eastAsia"/>
        </w:rPr>
        <w:t>不少于</w:t>
      </w:r>
      <w:r>
        <w:t>70kg</w:t>
      </w:r>
      <w:r>
        <w:rPr>
          <w:rFonts w:hint="eastAsia"/>
        </w:rPr>
        <w:t>。</w:t>
      </w:r>
    </w:p>
    <w:p w14:paraId="0DF47AA8">
      <w:pPr>
        <w:tabs>
          <w:tab w:val="left" w:pos="3120"/>
        </w:tabs>
        <w:spacing w:line="360" w:lineRule="auto"/>
        <w:ind w:firstLine="397"/>
      </w:pPr>
    </w:p>
    <w:p w14:paraId="288AE82A">
      <w:pPr>
        <w:pStyle w:val="7"/>
        <w:rPr>
          <w:rFonts w:ascii="宋体" w:hAnsi="宋体"/>
          <w:sz w:val="32"/>
        </w:rPr>
      </w:pPr>
      <w:bookmarkStart w:id="442" w:name="_Toc154675195"/>
      <w:r>
        <w:rPr>
          <w:rFonts w:hint="eastAsia" w:ascii="宋体" w:hAnsi="宋体"/>
          <w:sz w:val="32"/>
        </w:rPr>
        <w:t>第</w:t>
      </w:r>
      <w:r>
        <w:rPr>
          <w:rFonts w:ascii="宋体" w:hAnsi="宋体"/>
          <w:sz w:val="32"/>
        </w:rPr>
        <w:t>704</w:t>
      </w:r>
      <w:r>
        <w:rPr>
          <w:rFonts w:hint="eastAsia" w:ascii="宋体" w:hAnsi="宋体"/>
          <w:sz w:val="32"/>
        </w:rPr>
        <w:t>节</w:t>
      </w:r>
      <w:r>
        <w:rPr>
          <w:rFonts w:ascii="宋体" w:hAnsi="宋体"/>
          <w:sz w:val="32"/>
        </w:rPr>
        <w:t xml:space="preserve">  </w:t>
      </w:r>
      <w:r>
        <w:rPr>
          <w:rFonts w:hint="eastAsia" w:ascii="宋体" w:hAnsi="宋体"/>
          <w:sz w:val="32"/>
        </w:rPr>
        <w:t>种植乔木、灌木和攀缘植物</w:t>
      </w:r>
      <w:bookmarkEnd w:id="442"/>
    </w:p>
    <w:p w14:paraId="07146C5D">
      <w:pPr>
        <w:spacing w:line="380" w:lineRule="exact"/>
        <w:ind w:firstLine="405"/>
      </w:pPr>
    </w:p>
    <w:p w14:paraId="591D4810">
      <w:pPr>
        <w:spacing w:line="380" w:lineRule="exact"/>
        <w:ind w:firstLine="405"/>
        <w:rPr>
          <w:rFonts w:eastAsia="黑体"/>
          <w:sz w:val="28"/>
          <w:szCs w:val="28"/>
        </w:rPr>
      </w:pPr>
      <w:r>
        <w:rPr>
          <w:rFonts w:eastAsia="黑体"/>
          <w:sz w:val="28"/>
          <w:szCs w:val="28"/>
        </w:rPr>
        <w:t xml:space="preserve">704.02  </w:t>
      </w:r>
      <w:r>
        <w:rPr>
          <w:rFonts w:hint="eastAsia" w:eastAsia="黑体"/>
          <w:sz w:val="28"/>
          <w:szCs w:val="28"/>
        </w:rPr>
        <w:t>材料</w:t>
      </w:r>
    </w:p>
    <w:p w14:paraId="024FFB15">
      <w:pPr>
        <w:spacing w:line="380" w:lineRule="exact"/>
        <w:ind w:firstLine="405"/>
      </w:pPr>
      <w:r>
        <w:t>2</w:t>
      </w:r>
      <w:r>
        <w:rPr>
          <w:rFonts w:hint="eastAsia"/>
        </w:rPr>
        <w:t>、植物品种</w:t>
      </w:r>
    </w:p>
    <w:p w14:paraId="2035B2AA">
      <w:pPr>
        <w:spacing w:line="380" w:lineRule="exact"/>
        <w:ind w:firstLine="405"/>
      </w:pPr>
      <w:r>
        <w:rPr>
          <w:rFonts w:hint="eastAsia"/>
        </w:rPr>
        <w:t>补充第（</w:t>
      </w:r>
      <w:r>
        <w:t>5</w:t>
      </w:r>
      <w:r>
        <w:rPr>
          <w:rFonts w:hint="eastAsia"/>
        </w:rPr>
        <w:t>）款：</w:t>
      </w:r>
    </w:p>
    <w:p w14:paraId="3952F182">
      <w:pPr>
        <w:spacing w:line="380" w:lineRule="exact"/>
        <w:ind w:firstLine="405"/>
        <w:rPr>
          <w:rFonts w:eastAsia="黑体"/>
        </w:rPr>
      </w:pPr>
      <w:r>
        <w:rPr>
          <w:rFonts w:hint="eastAsia"/>
        </w:rPr>
        <w:t>（</w:t>
      </w:r>
      <w:r>
        <w:t>5</w:t>
      </w:r>
      <w:r>
        <w:rPr>
          <w:rFonts w:hint="eastAsia"/>
        </w:rPr>
        <w:t>）各种苗木的冠幅、径粗应严格按设计规定的规格，并应达到表</w:t>
      </w:r>
      <w:r>
        <w:t>704-9</w:t>
      </w:r>
      <w:r>
        <w:rPr>
          <w:rFonts w:hint="eastAsia"/>
        </w:rPr>
        <w:t>所描述的外观要求：</w:t>
      </w:r>
    </w:p>
    <w:p w14:paraId="5457B68F">
      <w:pPr>
        <w:spacing w:before="120" w:beforeLines="50" w:line="380" w:lineRule="exact"/>
        <w:ind w:firstLine="840" w:firstLineChars="400"/>
        <w:jc w:val="right"/>
        <w:rPr>
          <w:rFonts w:eastAsia="黑体"/>
        </w:rPr>
      </w:pPr>
      <w:r>
        <w:rPr>
          <w:rFonts w:hint="eastAsia" w:eastAsia="黑体"/>
        </w:rPr>
        <w:t>表</w:t>
      </w:r>
      <w:r>
        <w:rPr>
          <w:rFonts w:eastAsia="黑体"/>
        </w:rPr>
        <w:t>704-9</w:t>
      </w:r>
    </w:p>
    <w:tbl>
      <w:tblPr>
        <w:tblStyle w:val="44"/>
        <w:tblW w:w="8711" w:type="dxa"/>
        <w:tblInd w:w="4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95"/>
        <w:gridCol w:w="1365"/>
        <w:gridCol w:w="3316"/>
        <w:gridCol w:w="1950"/>
        <w:gridCol w:w="1185"/>
      </w:tblGrid>
      <w:tr w14:paraId="26C46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895" w:type="dxa"/>
            <w:vMerge w:val="restart"/>
            <w:vAlign w:val="center"/>
          </w:tcPr>
          <w:p w14:paraId="333FC6D4">
            <w:pPr>
              <w:spacing w:line="280" w:lineRule="exact"/>
              <w:jc w:val="center"/>
            </w:pPr>
            <w:r>
              <w:rPr>
                <w:rFonts w:hint="eastAsia"/>
              </w:rPr>
              <w:t>乔木类</w:t>
            </w:r>
          </w:p>
        </w:tc>
        <w:tc>
          <w:tcPr>
            <w:tcW w:w="1365" w:type="dxa"/>
            <w:vAlign w:val="center"/>
          </w:tcPr>
          <w:p w14:paraId="129AB755">
            <w:pPr>
              <w:spacing w:line="280" w:lineRule="exact"/>
              <w:jc w:val="center"/>
            </w:pPr>
            <w:r>
              <w:rPr>
                <w:rFonts w:hint="eastAsia"/>
              </w:rPr>
              <w:t>树干</w:t>
            </w:r>
          </w:p>
        </w:tc>
        <w:tc>
          <w:tcPr>
            <w:tcW w:w="3316" w:type="dxa"/>
            <w:vAlign w:val="center"/>
          </w:tcPr>
          <w:p w14:paraId="3C160667">
            <w:pPr>
              <w:spacing w:line="280" w:lineRule="exact"/>
              <w:jc w:val="center"/>
            </w:pPr>
            <w:r>
              <w:rPr>
                <w:rFonts w:hint="eastAsia"/>
              </w:rPr>
              <w:t>树冠</w:t>
            </w:r>
          </w:p>
        </w:tc>
        <w:tc>
          <w:tcPr>
            <w:tcW w:w="1950" w:type="dxa"/>
            <w:vAlign w:val="center"/>
          </w:tcPr>
          <w:p w14:paraId="3D1A2F44">
            <w:pPr>
              <w:spacing w:line="280" w:lineRule="exact"/>
              <w:jc w:val="center"/>
            </w:pPr>
            <w:r>
              <w:rPr>
                <w:rFonts w:hint="eastAsia"/>
              </w:rPr>
              <w:t>根系</w:t>
            </w:r>
          </w:p>
        </w:tc>
        <w:tc>
          <w:tcPr>
            <w:tcW w:w="1185" w:type="dxa"/>
            <w:vAlign w:val="center"/>
          </w:tcPr>
          <w:p w14:paraId="476222BF">
            <w:pPr>
              <w:spacing w:line="280" w:lineRule="exact"/>
              <w:jc w:val="center"/>
            </w:pPr>
            <w:r>
              <w:rPr>
                <w:rFonts w:hint="eastAsia"/>
              </w:rPr>
              <w:t>病虫害</w:t>
            </w:r>
          </w:p>
        </w:tc>
      </w:tr>
      <w:tr w14:paraId="7872F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1" w:hRule="atLeast"/>
        </w:trPr>
        <w:tc>
          <w:tcPr>
            <w:tcW w:w="895" w:type="dxa"/>
            <w:vMerge w:val="continue"/>
            <w:vAlign w:val="center"/>
          </w:tcPr>
          <w:p w14:paraId="1B74D0EA">
            <w:pPr>
              <w:spacing w:line="280" w:lineRule="exact"/>
              <w:jc w:val="center"/>
            </w:pPr>
          </w:p>
        </w:tc>
        <w:tc>
          <w:tcPr>
            <w:tcW w:w="1365" w:type="dxa"/>
            <w:vAlign w:val="center"/>
          </w:tcPr>
          <w:p w14:paraId="15C5A42A">
            <w:pPr>
              <w:spacing w:line="280" w:lineRule="exact"/>
              <w:jc w:val="center"/>
            </w:pPr>
            <w:r>
              <w:rPr>
                <w:rFonts w:hint="eastAsia"/>
              </w:rPr>
              <w:t>主干挺直</w:t>
            </w:r>
          </w:p>
        </w:tc>
        <w:tc>
          <w:tcPr>
            <w:tcW w:w="3316" w:type="dxa"/>
            <w:vAlign w:val="center"/>
          </w:tcPr>
          <w:p w14:paraId="313C4B16">
            <w:pPr>
              <w:spacing w:line="280" w:lineRule="exact"/>
              <w:jc w:val="center"/>
            </w:pPr>
            <w:r>
              <w:rPr>
                <w:rFonts w:hint="eastAsia"/>
              </w:rPr>
              <w:t>枝叶茂密、层次清晰、冠形丰满</w:t>
            </w:r>
          </w:p>
        </w:tc>
        <w:tc>
          <w:tcPr>
            <w:tcW w:w="1950" w:type="dxa"/>
            <w:vAlign w:val="center"/>
          </w:tcPr>
          <w:p w14:paraId="32F06C8C">
            <w:pPr>
              <w:spacing w:line="280" w:lineRule="exact"/>
              <w:jc w:val="center"/>
            </w:pPr>
            <w:r>
              <w:rPr>
                <w:rFonts w:hint="eastAsia"/>
              </w:rPr>
              <w:t>土球符合要求</w:t>
            </w:r>
          </w:p>
        </w:tc>
        <w:tc>
          <w:tcPr>
            <w:tcW w:w="1185" w:type="dxa"/>
            <w:vAlign w:val="center"/>
          </w:tcPr>
          <w:p w14:paraId="44793F0D">
            <w:pPr>
              <w:spacing w:line="280" w:lineRule="exact"/>
              <w:jc w:val="center"/>
            </w:pPr>
            <w:r>
              <w:rPr>
                <w:rFonts w:hint="eastAsia"/>
              </w:rPr>
              <w:t>无</w:t>
            </w:r>
          </w:p>
        </w:tc>
      </w:tr>
      <w:tr w14:paraId="148E3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4" w:hRule="atLeast"/>
        </w:trPr>
        <w:tc>
          <w:tcPr>
            <w:tcW w:w="895" w:type="dxa"/>
            <w:vMerge w:val="restart"/>
            <w:vAlign w:val="center"/>
          </w:tcPr>
          <w:p w14:paraId="77271643">
            <w:pPr>
              <w:spacing w:line="280" w:lineRule="exact"/>
              <w:jc w:val="center"/>
            </w:pPr>
            <w:r>
              <w:rPr>
                <w:rFonts w:hint="eastAsia"/>
              </w:rPr>
              <w:t>灌木类</w:t>
            </w:r>
          </w:p>
        </w:tc>
        <w:tc>
          <w:tcPr>
            <w:tcW w:w="4681" w:type="dxa"/>
            <w:gridSpan w:val="2"/>
            <w:vAlign w:val="center"/>
          </w:tcPr>
          <w:p w14:paraId="012BCD3C">
            <w:pPr>
              <w:spacing w:line="280" w:lineRule="exact"/>
              <w:jc w:val="center"/>
            </w:pPr>
            <w:r>
              <w:rPr>
                <w:rFonts w:hint="eastAsia"/>
              </w:rPr>
              <w:t>自然式</w:t>
            </w:r>
          </w:p>
        </w:tc>
        <w:tc>
          <w:tcPr>
            <w:tcW w:w="3135" w:type="dxa"/>
            <w:gridSpan w:val="2"/>
            <w:vAlign w:val="center"/>
          </w:tcPr>
          <w:p w14:paraId="437AF3EE">
            <w:pPr>
              <w:spacing w:line="280" w:lineRule="exact"/>
              <w:jc w:val="center"/>
            </w:pPr>
            <w:r>
              <w:rPr>
                <w:rFonts w:hint="eastAsia"/>
              </w:rPr>
              <w:t>整形式</w:t>
            </w:r>
          </w:p>
        </w:tc>
      </w:tr>
      <w:tr w14:paraId="77412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8" w:hRule="atLeast"/>
        </w:trPr>
        <w:tc>
          <w:tcPr>
            <w:tcW w:w="895" w:type="dxa"/>
            <w:vMerge w:val="continue"/>
            <w:vAlign w:val="center"/>
          </w:tcPr>
          <w:p w14:paraId="48C68C9E">
            <w:pPr>
              <w:spacing w:line="280" w:lineRule="exact"/>
              <w:jc w:val="center"/>
            </w:pPr>
          </w:p>
        </w:tc>
        <w:tc>
          <w:tcPr>
            <w:tcW w:w="4681" w:type="dxa"/>
            <w:gridSpan w:val="2"/>
            <w:vAlign w:val="center"/>
          </w:tcPr>
          <w:p w14:paraId="5303B39D">
            <w:pPr>
              <w:spacing w:line="280" w:lineRule="exact"/>
            </w:pPr>
            <w:r>
              <w:rPr>
                <w:rFonts w:hint="eastAsia"/>
              </w:rPr>
              <w:t>植株姿态自然优美，生长均匀，无病虫害，枝叶茂盛，根系发达</w:t>
            </w:r>
          </w:p>
        </w:tc>
        <w:tc>
          <w:tcPr>
            <w:tcW w:w="3135" w:type="dxa"/>
            <w:gridSpan w:val="2"/>
            <w:vAlign w:val="center"/>
          </w:tcPr>
          <w:p w14:paraId="470DEC03">
            <w:pPr>
              <w:spacing w:line="280" w:lineRule="exact"/>
            </w:pPr>
            <w:r>
              <w:rPr>
                <w:rFonts w:hint="eastAsia"/>
              </w:rPr>
              <w:t>冠形规则、饱满、根系发达，土球符合要求</w:t>
            </w:r>
          </w:p>
        </w:tc>
      </w:tr>
      <w:tr w14:paraId="2A281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1" w:hRule="atLeast"/>
        </w:trPr>
        <w:tc>
          <w:tcPr>
            <w:tcW w:w="895" w:type="dxa"/>
            <w:vAlign w:val="center"/>
          </w:tcPr>
          <w:p w14:paraId="17FB9C1E">
            <w:pPr>
              <w:spacing w:line="280" w:lineRule="exact"/>
              <w:jc w:val="center"/>
            </w:pPr>
            <w:r>
              <w:rPr>
                <w:rFonts w:hint="eastAsia"/>
              </w:rPr>
              <w:t>地被</w:t>
            </w:r>
          </w:p>
        </w:tc>
        <w:tc>
          <w:tcPr>
            <w:tcW w:w="7816" w:type="dxa"/>
            <w:gridSpan w:val="4"/>
            <w:vAlign w:val="center"/>
          </w:tcPr>
          <w:p w14:paraId="00AFD3FD">
            <w:pPr>
              <w:spacing w:line="280" w:lineRule="exact"/>
              <w:jc w:val="center"/>
            </w:pPr>
            <w:r>
              <w:rPr>
                <w:rFonts w:hint="eastAsia"/>
              </w:rPr>
              <w:t>苗龄</w:t>
            </w:r>
            <w:r>
              <w:t>1-2</w:t>
            </w:r>
            <w:r>
              <w:rPr>
                <w:rFonts w:hint="eastAsia"/>
              </w:rPr>
              <w:t>年生、色泽嫩绿、鲜艳，每丛不少于</w:t>
            </w:r>
            <w:r>
              <w:t>5</w:t>
            </w:r>
            <w:r>
              <w:rPr>
                <w:rFonts w:hint="eastAsia"/>
              </w:rPr>
              <w:t>支（书带草、葱兰类）</w:t>
            </w:r>
          </w:p>
        </w:tc>
      </w:tr>
    </w:tbl>
    <w:p w14:paraId="73E5784E">
      <w:pPr>
        <w:spacing w:line="380" w:lineRule="exact"/>
        <w:ind w:firstLine="405"/>
        <w:rPr>
          <w:rFonts w:eastAsia="黑体"/>
          <w:sz w:val="28"/>
          <w:szCs w:val="28"/>
        </w:rPr>
      </w:pPr>
    </w:p>
    <w:p w14:paraId="4AB3BD43">
      <w:pPr>
        <w:spacing w:line="380" w:lineRule="exact"/>
        <w:ind w:firstLine="405"/>
        <w:rPr>
          <w:rFonts w:eastAsia="黑体"/>
          <w:sz w:val="28"/>
          <w:szCs w:val="28"/>
        </w:rPr>
      </w:pPr>
      <w:r>
        <w:rPr>
          <w:rFonts w:eastAsia="黑体"/>
          <w:sz w:val="28"/>
          <w:szCs w:val="28"/>
        </w:rPr>
        <w:t xml:space="preserve">704.03  </w:t>
      </w:r>
      <w:r>
        <w:rPr>
          <w:rFonts w:hint="eastAsia" w:eastAsia="黑体"/>
          <w:sz w:val="28"/>
          <w:szCs w:val="28"/>
        </w:rPr>
        <w:t>施工要求</w:t>
      </w:r>
    </w:p>
    <w:p w14:paraId="6797555C">
      <w:pPr>
        <w:spacing w:line="380" w:lineRule="exact"/>
        <w:ind w:firstLine="405"/>
      </w:pPr>
      <w:r>
        <w:t>6.</w:t>
      </w:r>
      <w:r>
        <w:rPr>
          <w:rFonts w:hint="eastAsia"/>
        </w:rPr>
        <w:t>栽植</w:t>
      </w:r>
    </w:p>
    <w:p w14:paraId="6F77936D">
      <w:pPr>
        <w:spacing w:line="380" w:lineRule="exact"/>
        <w:ind w:firstLine="405"/>
      </w:pPr>
      <w:r>
        <w:rPr>
          <w:rFonts w:hint="eastAsia"/>
        </w:rPr>
        <w:t>补充第（</w:t>
      </w:r>
      <w:r>
        <w:t>13</w:t>
      </w:r>
      <w:r>
        <w:rPr>
          <w:rFonts w:hint="eastAsia"/>
        </w:rPr>
        <w:t>）、（</w:t>
      </w:r>
      <w:r>
        <w:t>14</w:t>
      </w:r>
      <w:r>
        <w:rPr>
          <w:rFonts w:hint="eastAsia"/>
        </w:rPr>
        <w:t>）款</w:t>
      </w:r>
    </w:p>
    <w:p w14:paraId="2B1BE1BB">
      <w:pPr>
        <w:spacing w:line="380" w:lineRule="exact"/>
        <w:ind w:firstLine="405"/>
      </w:pPr>
      <w:r>
        <w:rPr>
          <w:rFonts w:hint="eastAsia"/>
        </w:rPr>
        <w:t>（</w:t>
      </w:r>
      <w:r>
        <w:t>13</w:t>
      </w:r>
      <w:r>
        <w:rPr>
          <w:rFonts w:hint="eastAsia"/>
        </w:rPr>
        <w:t>）灌木色块应按设计要求的密度种植，一般每平方米在</w:t>
      </w:r>
      <w:r>
        <w:t>25-36</w:t>
      </w:r>
      <w:r>
        <w:rPr>
          <w:rFonts w:hint="eastAsia"/>
        </w:rPr>
        <w:t>株之间。</w:t>
      </w:r>
    </w:p>
    <w:p w14:paraId="50B8C947">
      <w:pPr>
        <w:spacing w:line="380" w:lineRule="exact"/>
        <w:ind w:firstLine="405"/>
      </w:pPr>
      <w:r>
        <w:rPr>
          <w:rFonts w:hint="eastAsia"/>
        </w:rPr>
        <w:t>（</w:t>
      </w:r>
      <w:r>
        <w:t>14</w:t>
      </w:r>
      <w:r>
        <w:rPr>
          <w:rFonts w:hint="eastAsia"/>
        </w:rPr>
        <w:t>）地被植物如为撒布草籽应在耙松、平整表土后均匀施肥，施肥量</w:t>
      </w:r>
      <w:r>
        <w:t>1000</w:t>
      </w:r>
      <w:r>
        <w:rPr>
          <w:rFonts w:hint="eastAsia"/>
        </w:rPr>
        <w:t>ｍ</w:t>
      </w:r>
      <w:r>
        <w:rPr>
          <w:rFonts w:hint="eastAsia"/>
          <w:vertAlign w:val="superscript"/>
        </w:rPr>
        <w:t>２</w:t>
      </w:r>
      <w:r>
        <w:rPr>
          <w:rFonts w:hint="eastAsia"/>
        </w:rPr>
        <w:t>不低于</w:t>
      </w:r>
      <w:r>
        <w:t>70kg</w:t>
      </w:r>
      <w:r>
        <w:rPr>
          <w:rFonts w:hint="eastAsia"/>
        </w:rPr>
        <w:t>，撒种量平地每</w:t>
      </w:r>
      <w:r>
        <w:t>1000</w:t>
      </w:r>
      <w:r>
        <w:rPr>
          <w:rFonts w:hint="eastAsia"/>
        </w:rPr>
        <w:t>ｍ</w:t>
      </w:r>
      <w:r>
        <w:rPr>
          <w:vertAlign w:val="superscript"/>
        </w:rPr>
        <w:t>2</w:t>
      </w:r>
      <w:r>
        <w:rPr>
          <w:rFonts w:hint="eastAsia"/>
        </w:rPr>
        <w:t>不低于</w:t>
      </w:r>
      <w:r>
        <w:t>10kg</w:t>
      </w:r>
      <w:r>
        <w:rPr>
          <w:rFonts w:hint="eastAsia"/>
        </w:rPr>
        <w:t>，坡面每</w:t>
      </w:r>
      <w:r>
        <w:t>1000</w:t>
      </w:r>
      <w:r>
        <w:rPr>
          <w:rFonts w:hint="eastAsia"/>
        </w:rPr>
        <w:t>ｍ</w:t>
      </w:r>
      <w:r>
        <w:rPr>
          <w:rFonts w:hint="eastAsia"/>
          <w:vertAlign w:val="superscript"/>
        </w:rPr>
        <w:t>２</w:t>
      </w:r>
      <w:r>
        <w:rPr>
          <w:rFonts w:hint="eastAsia"/>
        </w:rPr>
        <w:t>不低于</w:t>
      </w:r>
      <w:r>
        <w:t>12kg</w:t>
      </w:r>
      <w:r>
        <w:rPr>
          <w:rFonts w:hint="eastAsia"/>
        </w:rPr>
        <w:t>。如为铺草皮，应在表土平整后块块均匀错缝铺植，葱兰、书带草一类的丛植地被每平方米不低于</w:t>
      </w:r>
      <w:r>
        <w:t>36</w:t>
      </w:r>
      <w:r>
        <w:rPr>
          <w:rFonts w:hint="eastAsia"/>
        </w:rPr>
        <w:t>丛，每丛不少于</w:t>
      </w:r>
      <w:r>
        <w:t>5</w:t>
      </w:r>
      <w:r>
        <w:rPr>
          <w:rFonts w:hint="eastAsia"/>
        </w:rPr>
        <w:t>支。</w:t>
      </w:r>
    </w:p>
    <w:p w14:paraId="7A7D6347">
      <w:pPr>
        <w:widowControl/>
        <w:jc w:val="left"/>
      </w:pPr>
    </w:p>
    <w:p w14:paraId="7071D860">
      <w:pPr>
        <w:spacing w:line="380" w:lineRule="exact"/>
        <w:ind w:firstLine="405"/>
      </w:pPr>
    </w:p>
    <w:p w14:paraId="643EA6E3">
      <w:pPr>
        <w:spacing w:line="360" w:lineRule="auto"/>
      </w:pPr>
      <w:r>
        <w:br w:type="page"/>
      </w:r>
    </w:p>
    <w:p w14:paraId="57374823">
      <w:pPr>
        <w:spacing w:line="360" w:lineRule="auto"/>
      </w:pPr>
    </w:p>
    <w:p w14:paraId="5FEF2C3E">
      <w:pPr>
        <w:spacing w:line="360" w:lineRule="auto"/>
      </w:pPr>
    </w:p>
    <w:p w14:paraId="5FF00FCE">
      <w:pPr>
        <w:spacing w:line="360" w:lineRule="auto"/>
      </w:pPr>
    </w:p>
    <w:p w14:paraId="38634513">
      <w:pPr>
        <w:spacing w:line="360" w:lineRule="auto"/>
      </w:pPr>
    </w:p>
    <w:p w14:paraId="365BF48F">
      <w:pPr>
        <w:spacing w:line="360" w:lineRule="auto"/>
      </w:pPr>
    </w:p>
    <w:p w14:paraId="3371BB79">
      <w:pPr>
        <w:spacing w:line="360" w:lineRule="auto"/>
      </w:pPr>
    </w:p>
    <w:p w14:paraId="42BC56B0">
      <w:pPr>
        <w:spacing w:line="360" w:lineRule="auto"/>
      </w:pPr>
    </w:p>
    <w:p w14:paraId="5CBDDA29">
      <w:pPr>
        <w:spacing w:line="360" w:lineRule="auto"/>
      </w:pPr>
    </w:p>
    <w:p w14:paraId="57CFD932">
      <w:pPr>
        <w:spacing w:line="360" w:lineRule="auto"/>
      </w:pPr>
    </w:p>
    <w:p w14:paraId="757BA4ED">
      <w:pPr>
        <w:spacing w:line="360" w:lineRule="auto"/>
      </w:pPr>
    </w:p>
    <w:p w14:paraId="7BF1C2D2">
      <w:pPr>
        <w:spacing w:line="360" w:lineRule="auto"/>
      </w:pPr>
    </w:p>
    <w:p w14:paraId="798AE3CB">
      <w:pPr>
        <w:spacing w:line="360" w:lineRule="auto"/>
      </w:pPr>
    </w:p>
    <w:p w14:paraId="6B725DDD">
      <w:pPr>
        <w:pStyle w:val="4"/>
        <w:jc w:val="center"/>
        <w:rPr>
          <w:rFonts w:eastAsia="黑体"/>
          <w:sz w:val="48"/>
          <w:szCs w:val="48"/>
        </w:rPr>
      </w:pPr>
      <w:bookmarkStart w:id="443" w:name="_Toc9296"/>
      <w:bookmarkStart w:id="444" w:name="_Toc17052"/>
      <w:bookmarkStart w:id="445" w:name="_Toc154675196"/>
      <w:bookmarkStart w:id="446" w:name="_Toc753"/>
      <w:r>
        <w:rPr>
          <w:rFonts w:hint="eastAsia" w:eastAsia="黑体"/>
          <w:sz w:val="48"/>
          <w:szCs w:val="48"/>
        </w:rPr>
        <w:t>第八章</w:t>
      </w:r>
      <w:r>
        <w:rPr>
          <w:rFonts w:eastAsia="黑体"/>
          <w:sz w:val="48"/>
          <w:szCs w:val="48"/>
        </w:rPr>
        <w:t xml:space="preserve">  </w:t>
      </w:r>
      <w:r>
        <w:rPr>
          <w:rFonts w:hint="eastAsia" w:eastAsia="黑体"/>
          <w:sz w:val="48"/>
          <w:szCs w:val="48"/>
        </w:rPr>
        <w:t>工程量清单计量规则</w:t>
      </w:r>
      <w:bookmarkEnd w:id="443"/>
      <w:bookmarkEnd w:id="444"/>
      <w:bookmarkEnd w:id="445"/>
      <w:bookmarkEnd w:id="446"/>
    </w:p>
    <w:p w14:paraId="41576A5B">
      <w:pPr>
        <w:spacing w:line="360" w:lineRule="auto"/>
      </w:pPr>
    </w:p>
    <w:p w14:paraId="4B9B7DF2">
      <w:pPr>
        <w:spacing w:line="360" w:lineRule="auto"/>
        <w:jc w:val="center"/>
        <w:rPr>
          <w:sz w:val="32"/>
        </w:rPr>
      </w:pPr>
      <w:r>
        <w:rPr>
          <w:rFonts w:hint="eastAsia"/>
          <w:sz w:val="24"/>
        </w:rPr>
        <w:t>按照浙江省地方标准《交通建设工程工程量清单计价规范</w:t>
      </w:r>
      <w:r>
        <w:rPr>
          <w:sz w:val="24"/>
        </w:rPr>
        <w:t xml:space="preserve"> </w:t>
      </w:r>
      <w:r>
        <w:rPr>
          <w:rFonts w:hint="eastAsia"/>
          <w:sz w:val="24"/>
        </w:rPr>
        <w:t>第</w:t>
      </w:r>
      <w:r>
        <w:rPr>
          <w:sz w:val="24"/>
        </w:rPr>
        <w:t>1</w:t>
      </w:r>
      <w:r>
        <w:rPr>
          <w:rFonts w:hint="eastAsia"/>
          <w:sz w:val="24"/>
        </w:rPr>
        <w:t>部分：公路工程》（</w:t>
      </w:r>
      <w:r>
        <w:rPr>
          <w:sz w:val="24"/>
        </w:rPr>
        <w:t>DB 33/T628.1—2021</w:t>
      </w:r>
      <w:r>
        <w:rPr>
          <w:rFonts w:hint="eastAsia"/>
          <w:sz w:val="24"/>
        </w:rPr>
        <w:t>）编制</w:t>
      </w:r>
    </w:p>
    <w:p w14:paraId="3CE2ECAF">
      <w:pPr>
        <w:spacing w:line="360" w:lineRule="auto"/>
      </w:pPr>
    </w:p>
    <w:p w14:paraId="737ED3A4">
      <w:pPr>
        <w:spacing w:line="360" w:lineRule="auto"/>
      </w:pPr>
    </w:p>
    <w:p w14:paraId="26154B84">
      <w:pPr>
        <w:spacing w:line="360" w:lineRule="auto"/>
      </w:pPr>
    </w:p>
    <w:p w14:paraId="03656D58">
      <w:pPr>
        <w:spacing w:line="360" w:lineRule="auto"/>
      </w:pPr>
    </w:p>
    <w:p w14:paraId="025A36EC">
      <w:pPr>
        <w:spacing w:line="360" w:lineRule="auto"/>
      </w:pPr>
    </w:p>
    <w:p w14:paraId="595BE904">
      <w:pPr>
        <w:spacing w:line="360" w:lineRule="auto"/>
      </w:pPr>
    </w:p>
    <w:p w14:paraId="72C46595">
      <w:pPr>
        <w:spacing w:line="360" w:lineRule="auto"/>
      </w:pPr>
    </w:p>
    <w:p w14:paraId="33B8E8FC">
      <w:pPr>
        <w:spacing w:line="360" w:lineRule="auto"/>
      </w:pPr>
    </w:p>
    <w:p w14:paraId="42441287">
      <w:pPr>
        <w:spacing w:line="360" w:lineRule="auto"/>
      </w:pPr>
    </w:p>
    <w:p w14:paraId="604F152B">
      <w:pPr>
        <w:spacing w:line="360" w:lineRule="auto"/>
      </w:pPr>
    </w:p>
    <w:p w14:paraId="435858F6">
      <w:pPr>
        <w:spacing w:line="360" w:lineRule="auto"/>
      </w:pPr>
    </w:p>
    <w:p w14:paraId="34BA4F3A">
      <w:pPr>
        <w:spacing w:line="360" w:lineRule="auto"/>
        <w:ind w:firstLine="420" w:firstLineChars="200"/>
      </w:pPr>
    </w:p>
    <w:p w14:paraId="642B3AAA">
      <w:pPr>
        <w:spacing w:line="360" w:lineRule="auto"/>
        <w:rPr>
          <w:szCs w:val="21"/>
        </w:rPr>
        <w:sectPr>
          <w:headerReference r:id="rId17" w:type="default"/>
          <w:footnotePr>
            <w:numFmt w:val="decimalEnclosedCircleChinese"/>
            <w:numRestart w:val="eachPage"/>
          </w:footnotePr>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5B49D138">
      <w:pPr>
        <w:spacing w:line="360" w:lineRule="auto"/>
      </w:pPr>
    </w:p>
    <w:p w14:paraId="7BC69B11">
      <w:pPr>
        <w:spacing w:line="360" w:lineRule="auto"/>
      </w:pPr>
    </w:p>
    <w:p w14:paraId="21E928E5">
      <w:pPr>
        <w:spacing w:line="360" w:lineRule="auto"/>
      </w:pPr>
    </w:p>
    <w:p w14:paraId="6EBC9C7C">
      <w:pPr>
        <w:pStyle w:val="4"/>
        <w:jc w:val="center"/>
        <w:rPr>
          <w:rFonts w:eastAsia="黑体"/>
          <w:sz w:val="48"/>
          <w:szCs w:val="48"/>
        </w:rPr>
      </w:pPr>
      <w:bookmarkStart w:id="447" w:name="_Toc7297"/>
      <w:bookmarkStart w:id="448" w:name="_Toc154675198"/>
      <w:bookmarkStart w:id="449" w:name="_Toc2344"/>
      <w:bookmarkStart w:id="450" w:name="_Toc10718"/>
      <w:r>
        <w:rPr>
          <w:rFonts w:hint="eastAsia" w:eastAsia="黑体"/>
          <w:sz w:val="48"/>
          <w:szCs w:val="48"/>
        </w:rPr>
        <w:t>第九章</w:t>
      </w:r>
      <w:r>
        <w:rPr>
          <w:rFonts w:eastAsia="黑体"/>
          <w:sz w:val="48"/>
          <w:szCs w:val="48"/>
        </w:rPr>
        <w:t xml:space="preserve">  </w:t>
      </w:r>
      <w:r>
        <w:rPr>
          <w:rFonts w:hint="eastAsia" w:eastAsia="黑体"/>
          <w:sz w:val="48"/>
          <w:szCs w:val="48"/>
          <w:lang w:val="en-US" w:eastAsia="zh-CN"/>
        </w:rPr>
        <w:t>竞包</w:t>
      </w:r>
      <w:r>
        <w:rPr>
          <w:rFonts w:hint="eastAsia" w:eastAsia="黑体"/>
          <w:sz w:val="48"/>
          <w:szCs w:val="48"/>
        </w:rPr>
        <w:t>文件格式</w:t>
      </w:r>
      <w:r>
        <w:rPr>
          <w:rFonts w:eastAsia="黑体"/>
          <w:sz w:val="48"/>
          <w:szCs w:val="48"/>
          <w:vertAlign w:val="superscript"/>
        </w:rPr>
        <w:footnoteReference w:id="34"/>
      </w:r>
      <w:bookmarkEnd w:id="447"/>
      <w:bookmarkEnd w:id="448"/>
      <w:bookmarkEnd w:id="449"/>
      <w:bookmarkEnd w:id="450"/>
    </w:p>
    <w:p w14:paraId="2D9CAB1E">
      <w:pPr>
        <w:spacing w:line="360" w:lineRule="auto"/>
      </w:pPr>
    </w:p>
    <w:p w14:paraId="0F1E33C6">
      <w:pPr>
        <w:spacing w:line="360" w:lineRule="auto"/>
      </w:pPr>
    </w:p>
    <w:p w14:paraId="3CDC20F0">
      <w:pPr>
        <w:spacing w:line="360" w:lineRule="auto"/>
        <w:sectPr>
          <w:headerReference r:id="rId18" w:type="default"/>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pPr>
    </w:p>
    <w:p w14:paraId="1A61755B">
      <w:pPr>
        <w:spacing w:line="360" w:lineRule="auto"/>
      </w:pPr>
    </w:p>
    <w:p w14:paraId="0C5FAF1B">
      <w:pPr>
        <w:spacing w:line="360" w:lineRule="auto"/>
      </w:pPr>
    </w:p>
    <w:p w14:paraId="2D55A74D">
      <w:pPr>
        <w:spacing w:line="360" w:lineRule="auto"/>
        <w:rPr>
          <w:rFonts w:eastAsia="黑体"/>
          <w:sz w:val="20"/>
          <w:szCs w:val="20"/>
        </w:rPr>
      </w:pPr>
    </w:p>
    <w:p w14:paraId="52F2E118">
      <w:pPr>
        <w:autoSpaceDE w:val="0"/>
        <w:autoSpaceDN w:val="0"/>
        <w:adjustRightInd w:val="0"/>
        <w:ind w:firstLine="1320" w:firstLineChars="200"/>
        <w:jc w:val="left"/>
        <w:rPr>
          <w:rFonts w:ascii="Calibri" w:hAnsi="Calibri"/>
          <w:b/>
          <w:bCs/>
          <w:color w:val="000000"/>
          <w:kern w:val="0"/>
          <w:sz w:val="66"/>
          <w:szCs w:val="66"/>
        </w:rPr>
      </w:pPr>
      <w:r>
        <w:rPr>
          <w:rFonts w:hint="eastAsia" w:ascii="宋体" w:hAnsi="宋体"/>
          <w:bCs/>
          <w:color w:val="000000"/>
          <w:kern w:val="0"/>
          <w:sz w:val="66"/>
          <w:szCs w:val="66"/>
          <w:u w:val="single"/>
        </w:rPr>
        <w:t xml:space="preserve">                 </w:t>
      </w:r>
      <w:r>
        <w:rPr>
          <w:rFonts w:hint="eastAsia" w:ascii="Calibri" w:hAnsi="Calibri"/>
          <w:b/>
          <w:bCs/>
          <w:color w:val="000000"/>
          <w:kern w:val="0"/>
          <w:sz w:val="66"/>
          <w:szCs w:val="66"/>
        </w:rPr>
        <w:t>工程</w:t>
      </w:r>
    </w:p>
    <w:p w14:paraId="3CD04B53">
      <w:pPr>
        <w:autoSpaceDE w:val="0"/>
        <w:autoSpaceDN w:val="0"/>
        <w:adjustRightInd w:val="0"/>
        <w:jc w:val="left"/>
        <w:rPr>
          <w:rFonts w:ascii="Calibri" w:hAnsi="Calibri"/>
          <w:b/>
          <w:color w:val="000000"/>
          <w:kern w:val="0"/>
          <w:sz w:val="44"/>
        </w:rPr>
      </w:pPr>
    </w:p>
    <w:p w14:paraId="50D204C5">
      <w:pPr>
        <w:autoSpaceDE w:val="0"/>
        <w:autoSpaceDN w:val="0"/>
        <w:adjustRightInd w:val="0"/>
        <w:jc w:val="left"/>
        <w:rPr>
          <w:rFonts w:ascii="Calibri" w:hAnsi="Calibri"/>
          <w:b/>
          <w:color w:val="000000"/>
          <w:kern w:val="0"/>
          <w:sz w:val="44"/>
        </w:rPr>
      </w:pPr>
    </w:p>
    <w:p w14:paraId="4BADF4A8">
      <w:pPr>
        <w:autoSpaceDE w:val="0"/>
        <w:autoSpaceDN w:val="0"/>
        <w:adjustRightInd w:val="0"/>
        <w:jc w:val="left"/>
        <w:rPr>
          <w:rFonts w:ascii="Calibri" w:hAnsi="Calibri"/>
          <w:b/>
          <w:color w:val="000000"/>
          <w:kern w:val="0"/>
          <w:sz w:val="44"/>
        </w:rPr>
      </w:pPr>
    </w:p>
    <w:p w14:paraId="18B3A516">
      <w:pPr>
        <w:autoSpaceDE w:val="0"/>
        <w:autoSpaceDN w:val="0"/>
        <w:adjustRightInd w:val="0"/>
        <w:jc w:val="center"/>
        <w:rPr>
          <w:rFonts w:ascii="Calibri" w:hAnsi="Calibri"/>
          <w:b/>
          <w:color w:val="000000"/>
          <w:kern w:val="0"/>
          <w:sz w:val="84"/>
          <w:szCs w:val="84"/>
        </w:rPr>
      </w:pPr>
      <w:r>
        <w:rPr>
          <w:rFonts w:hint="eastAsia" w:ascii="Calibri" w:hAnsi="Calibri"/>
          <w:b/>
          <w:color w:val="000000"/>
          <w:kern w:val="0"/>
          <w:sz w:val="84"/>
          <w:szCs w:val="84"/>
        </w:rPr>
        <w:t>竞包文件</w:t>
      </w:r>
    </w:p>
    <w:p w14:paraId="5DB303D8">
      <w:pPr>
        <w:autoSpaceDE w:val="0"/>
        <w:autoSpaceDN w:val="0"/>
        <w:adjustRightInd w:val="0"/>
        <w:jc w:val="left"/>
        <w:rPr>
          <w:rFonts w:ascii="Calibri" w:hAnsi="Calibri"/>
          <w:b/>
          <w:color w:val="000000"/>
          <w:kern w:val="0"/>
          <w:sz w:val="72"/>
        </w:rPr>
      </w:pPr>
    </w:p>
    <w:p w14:paraId="0100E66A">
      <w:pPr>
        <w:autoSpaceDE w:val="0"/>
        <w:autoSpaceDN w:val="0"/>
        <w:adjustRightInd w:val="0"/>
        <w:jc w:val="left"/>
        <w:rPr>
          <w:rFonts w:ascii="Calibri" w:hAnsi="Calibri"/>
          <w:b/>
          <w:color w:val="000000"/>
          <w:kern w:val="0"/>
          <w:sz w:val="28"/>
        </w:rPr>
      </w:pPr>
    </w:p>
    <w:p w14:paraId="001A37A7">
      <w:pPr>
        <w:autoSpaceDE w:val="0"/>
        <w:autoSpaceDN w:val="0"/>
        <w:adjustRightInd w:val="0"/>
        <w:jc w:val="left"/>
        <w:rPr>
          <w:rFonts w:ascii="Calibri" w:hAnsi="Calibri"/>
          <w:color w:val="000000"/>
          <w:kern w:val="0"/>
          <w:sz w:val="24"/>
        </w:rPr>
      </w:pPr>
    </w:p>
    <w:p w14:paraId="5F8B585B">
      <w:pPr>
        <w:autoSpaceDE w:val="0"/>
        <w:autoSpaceDN w:val="0"/>
        <w:adjustRightInd w:val="0"/>
        <w:jc w:val="left"/>
        <w:rPr>
          <w:rFonts w:ascii="Calibri" w:hAnsi="Calibri"/>
          <w:color w:val="000000"/>
          <w:kern w:val="0"/>
          <w:sz w:val="24"/>
        </w:rPr>
      </w:pPr>
    </w:p>
    <w:p w14:paraId="14CFF046">
      <w:pPr>
        <w:autoSpaceDE w:val="0"/>
        <w:autoSpaceDN w:val="0"/>
        <w:adjustRightInd w:val="0"/>
        <w:jc w:val="left"/>
        <w:rPr>
          <w:rFonts w:ascii="Calibri" w:hAnsi="Calibri"/>
          <w:color w:val="000000"/>
          <w:kern w:val="0"/>
          <w:sz w:val="24"/>
        </w:rPr>
      </w:pPr>
    </w:p>
    <w:p w14:paraId="53BAB8C9">
      <w:pPr>
        <w:autoSpaceDE w:val="0"/>
        <w:autoSpaceDN w:val="0"/>
        <w:adjustRightInd w:val="0"/>
        <w:jc w:val="left"/>
        <w:rPr>
          <w:rFonts w:ascii="Calibri" w:hAnsi="Calibri"/>
          <w:color w:val="000000"/>
          <w:kern w:val="0"/>
          <w:sz w:val="24"/>
        </w:rPr>
      </w:pPr>
    </w:p>
    <w:p w14:paraId="220FB340">
      <w:pPr>
        <w:autoSpaceDE w:val="0"/>
        <w:autoSpaceDN w:val="0"/>
        <w:adjustRightInd w:val="0"/>
        <w:jc w:val="left"/>
        <w:rPr>
          <w:rFonts w:ascii="Calibri" w:hAnsi="Calibri"/>
          <w:color w:val="000000"/>
          <w:kern w:val="0"/>
          <w:sz w:val="24"/>
        </w:rPr>
      </w:pPr>
    </w:p>
    <w:p w14:paraId="03C00EE4">
      <w:pPr>
        <w:autoSpaceDE w:val="0"/>
        <w:autoSpaceDN w:val="0"/>
        <w:adjustRightInd w:val="0"/>
        <w:jc w:val="left"/>
        <w:rPr>
          <w:rFonts w:ascii="Calibri" w:hAnsi="Calibri"/>
          <w:color w:val="000000"/>
          <w:kern w:val="0"/>
          <w:sz w:val="24"/>
        </w:rPr>
      </w:pPr>
    </w:p>
    <w:p w14:paraId="350AA732">
      <w:pPr>
        <w:autoSpaceDE w:val="0"/>
        <w:autoSpaceDN w:val="0"/>
        <w:adjustRightInd w:val="0"/>
        <w:spacing w:before="240" w:beforeLines="100" w:after="240" w:afterLines="100"/>
        <w:ind w:firstLine="689" w:firstLineChars="245"/>
        <w:jc w:val="left"/>
        <w:rPr>
          <w:rFonts w:ascii="Calibri" w:hAnsi="Calibri"/>
          <w:b/>
          <w:color w:val="000000"/>
          <w:kern w:val="0"/>
          <w:sz w:val="28"/>
          <w:u w:val="single"/>
        </w:rPr>
      </w:pPr>
      <w:r>
        <w:rPr>
          <w:rFonts w:hint="eastAsia" w:ascii="Calibri" w:hAnsi="Calibri"/>
          <w:b/>
          <w:color w:val="000000"/>
          <w:kern w:val="0"/>
          <w:sz w:val="28"/>
        </w:rPr>
        <w:t>竞  包  人：</w:t>
      </w:r>
      <w:r>
        <w:rPr>
          <w:rFonts w:hint="eastAsia" w:ascii="Calibri" w:hAnsi="Calibri"/>
          <w:b/>
          <w:color w:val="000000"/>
          <w:kern w:val="0"/>
          <w:sz w:val="28"/>
          <w:u w:val="single"/>
        </w:rPr>
        <w:t>　　　　　　　　　　  （盖单位电子印章）</w:t>
      </w:r>
    </w:p>
    <w:p w14:paraId="0A116C5C">
      <w:pPr>
        <w:autoSpaceDE w:val="0"/>
        <w:autoSpaceDN w:val="0"/>
        <w:adjustRightInd w:val="0"/>
        <w:spacing w:before="240" w:beforeLines="100" w:after="240" w:afterLines="100"/>
        <w:ind w:firstLine="689" w:firstLineChars="245"/>
        <w:jc w:val="left"/>
        <w:rPr>
          <w:rFonts w:ascii="Calibri" w:hAnsi="Calibri"/>
          <w:b/>
          <w:color w:val="000000"/>
          <w:kern w:val="0"/>
          <w:sz w:val="28"/>
          <w:u w:val="single"/>
        </w:rPr>
      </w:pPr>
      <w:r>
        <w:rPr>
          <w:rFonts w:hint="eastAsia" w:ascii="Calibri" w:hAnsi="Calibri"/>
          <w:b/>
          <w:color w:val="000000"/>
          <w:kern w:val="0"/>
          <w:sz w:val="28"/>
        </w:rPr>
        <w:t>法定代表人或其委托代理人：</w:t>
      </w:r>
      <w:r>
        <w:rPr>
          <w:rFonts w:hint="eastAsia" w:ascii="Calibri" w:hAnsi="Calibri"/>
          <w:b/>
          <w:color w:val="000000"/>
          <w:kern w:val="0"/>
          <w:sz w:val="28"/>
          <w:u w:val="single"/>
        </w:rPr>
        <w:t>　　　     （签字或盖</w:t>
      </w:r>
      <w:r>
        <w:rPr>
          <w:rFonts w:hint="eastAsia" w:ascii="Calibri" w:hAnsi="Calibri"/>
          <w:b/>
          <w:color w:val="000000"/>
          <w:kern w:val="0"/>
          <w:sz w:val="28"/>
          <w:u w:val="single"/>
          <w:lang w:val="en-US" w:eastAsia="zh-CN"/>
        </w:rPr>
        <w:t>电子</w:t>
      </w:r>
      <w:r>
        <w:rPr>
          <w:rFonts w:hint="eastAsia" w:ascii="Calibri" w:hAnsi="Calibri"/>
          <w:b/>
          <w:color w:val="000000"/>
          <w:kern w:val="0"/>
          <w:sz w:val="28"/>
          <w:u w:val="single"/>
        </w:rPr>
        <w:t>章）</w:t>
      </w:r>
    </w:p>
    <w:p w14:paraId="21F17303">
      <w:pPr>
        <w:autoSpaceDE w:val="0"/>
        <w:autoSpaceDN w:val="0"/>
        <w:adjustRightInd w:val="0"/>
        <w:spacing w:before="240" w:beforeLines="100" w:after="240" w:afterLines="100"/>
        <w:ind w:firstLine="689" w:firstLineChars="245"/>
        <w:jc w:val="left"/>
        <w:rPr>
          <w:rFonts w:ascii="宋体" w:hAnsi="宋体" w:cs="宋体"/>
          <w:b/>
          <w:bCs/>
          <w:color w:val="000000"/>
          <w:kern w:val="0"/>
          <w:sz w:val="32"/>
          <w:u w:val="single"/>
        </w:rPr>
      </w:pPr>
      <w:r>
        <w:rPr>
          <w:rFonts w:hint="eastAsia" w:ascii="Calibri" w:hAnsi="Calibri"/>
          <w:b/>
          <w:color w:val="000000"/>
          <w:kern w:val="0"/>
          <w:sz w:val="28"/>
        </w:rPr>
        <w:t>日　　　期：</w:t>
      </w:r>
      <w:r>
        <w:rPr>
          <w:rFonts w:hint="eastAsia" w:ascii="Calibri" w:hAnsi="Calibri"/>
          <w:b/>
          <w:color w:val="000000"/>
          <w:kern w:val="0"/>
          <w:sz w:val="28"/>
          <w:u w:val="single"/>
        </w:rPr>
        <w:t>　　　　</w:t>
      </w:r>
      <w:r>
        <w:rPr>
          <w:rFonts w:hint="eastAsia" w:ascii="Calibri" w:hAnsi="Calibri"/>
          <w:b/>
          <w:color w:val="000000"/>
          <w:kern w:val="0"/>
          <w:sz w:val="28"/>
        </w:rPr>
        <w:t>年</w:t>
      </w:r>
      <w:r>
        <w:rPr>
          <w:rFonts w:hint="eastAsia" w:ascii="Calibri" w:hAnsi="Calibri"/>
          <w:b/>
          <w:color w:val="000000"/>
          <w:kern w:val="0"/>
          <w:sz w:val="28"/>
          <w:u w:val="single"/>
        </w:rPr>
        <w:t>　　  　</w:t>
      </w:r>
      <w:r>
        <w:rPr>
          <w:rFonts w:hint="eastAsia" w:ascii="Calibri" w:hAnsi="Calibri"/>
          <w:b/>
          <w:color w:val="000000"/>
          <w:kern w:val="0"/>
          <w:sz w:val="28"/>
        </w:rPr>
        <w:t>月</w:t>
      </w:r>
      <w:r>
        <w:rPr>
          <w:rFonts w:hint="eastAsia" w:ascii="Calibri" w:hAnsi="Calibri"/>
          <w:b/>
          <w:color w:val="000000"/>
          <w:kern w:val="0"/>
          <w:sz w:val="28"/>
          <w:u w:val="single"/>
        </w:rPr>
        <w:t>　　　　</w:t>
      </w:r>
      <w:r>
        <w:rPr>
          <w:rFonts w:hint="eastAsia" w:ascii="Calibri" w:hAnsi="Calibri"/>
          <w:b/>
          <w:color w:val="000000"/>
          <w:kern w:val="0"/>
          <w:sz w:val="28"/>
        </w:rPr>
        <w:t>日。</w:t>
      </w:r>
    </w:p>
    <w:p w14:paraId="084F3375">
      <w:pPr>
        <w:spacing w:line="360" w:lineRule="auto"/>
        <w:jc w:val="center"/>
        <w:rPr>
          <w:rFonts w:eastAsia="黑体"/>
          <w:sz w:val="28"/>
          <w:szCs w:val="28"/>
        </w:rPr>
      </w:pPr>
    </w:p>
    <w:p w14:paraId="10037B36">
      <w:pPr>
        <w:spacing w:line="360" w:lineRule="auto"/>
      </w:pPr>
      <w:r>
        <w:br w:type="page"/>
      </w:r>
    </w:p>
    <w:p w14:paraId="2B716B9C">
      <w:pPr>
        <w:pStyle w:val="97"/>
        <w:jc w:val="center"/>
        <w:rPr>
          <w:sz w:val="36"/>
          <w:szCs w:val="36"/>
        </w:rPr>
      </w:pPr>
      <w:bookmarkStart w:id="451" w:name="_Toc25008"/>
      <w:bookmarkStart w:id="452" w:name="_Toc154675200"/>
      <w:bookmarkStart w:id="453" w:name="_Toc15670"/>
      <w:r>
        <w:rPr>
          <w:rFonts w:hint="eastAsia"/>
          <w:sz w:val="36"/>
          <w:szCs w:val="36"/>
        </w:rPr>
        <w:t>目录</w:t>
      </w:r>
      <w:bookmarkEnd w:id="451"/>
      <w:bookmarkEnd w:id="452"/>
      <w:bookmarkEnd w:id="453"/>
    </w:p>
    <w:p w14:paraId="5385240B">
      <w:pPr>
        <w:spacing w:line="360" w:lineRule="auto"/>
      </w:pPr>
    </w:p>
    <w:p w14:paraId="202E6D2A">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（1）竞包函及竞包函附录；</w:t>
      </w:r>
    </w:p>
    <w:p w14:paraId="2B03D5CB">
      <w:pPr>
        <w:autoSpaceDE/>
        <w:autoSpaceDN/>
        <w:adjustRightInd/>
        <w:spacing w:line="580" w:lineRule="exact"/>
        <w:ind w:firstLine="414" w:firstLineChars="148"/>
        <w:rPr>
          <w:rFonts w:hint="eastAsia" w:ascii="宋体" w:hAnsi="宋体" w:eastAsia="宋体" w:cs="宋体"/>
          <w:bCs/>
          <w:sz w:val="28"/>
          <w:szCs w:val="28"/>
          <w:lang w:eastAsia="zh-CN"/>
        </w:rPr>
      </w:pPr>
      <w:r>
        <w:rPr>
          <w:rFonts w:hint="eastAsia" w:ascii="宋体" w:hAnsi="宋体" w:cs="宋体"/>
          <w:bCs/>
          <w:sz w:val="28"/>
          <w:szCs w:val="28"/>
        </w:rPr>
        <w:t>（2）授权委托书或法定代表人身份证明</w:t>
      </w:r>
      <w:r>
        <w:rPr>
          <w:rFonts w:hint="eastAsia" w:ascii="宋体" w:hAnsi="宋体" w:cs="宋体"/>
          <w:bCs/>
          <w:sz w:val="28"/>
          <w:szCs w:val="28"/>
          <w:lang w:eastAsia="zh-CN"/>
        </w:rPr>
        <w:t>；</w:t>
      </w:r>
    </w:p>
    <w:p w14:paraId="4B1E9463">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（3）联合体协议书；</w:t>
      </w:r>
    </w:p>
    <w:p w14:paraId="08E259BD">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（4）资格审查资料；</w:t>
      </w:r>
    </w:p>
    <w:p w14:paraId="4B3C38C8">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（5）</w:t>
      </w:r>
      <w:r>
        <w:rPr>
          <w:rFonts w:hint="eastAsia" w:ascii="宋体" w:hAnsi="宋体" w:cs="宋体"/>
          <w:bCs/>
          <w:sz w:val="28"/>
          <w:szCs w:val="28"/>
          <w:lang w:val="en-US" w:eastAsia="zh-CN"/>
        </w:rPr>
        <w:t>承诺函</w:t>
      </w:r>
      <w:r>
        <w:rPr>
          <w:rFonts w:hint="eastAsia" w:ascii="宋体" w:hAnsi="宋体" w:cs="宋体"/>
          <w:bCs/>
          <w:sz w:val="28"/>
          <w:szCs w:val="28"/>
        </w:rPr>
        <w:t>；</w:t>
      </w:r>
    </w:p>
    <w:p w14:paraId="3D637A6F">
      <w:pPr>
        <w:spacing w:line="580" w:lineRule="exact"/>
        <w:ind w:firstLine="414" w:firstLineChars="148"/>
        <w:rPr>
          <w:rFonts w:hint="eastAsia" w:ascii="宋体" w:hAnsi="宋体" w:cs="宋体"/>
          <w:bCs/>
          <w:sz w:val="28"/>
          <w:szCs w:val="28"/>
        </w:rPr>
      </w:pPr>
      <w:r>
        <w:rPr>
          <w:rFonts w:hint="eastAsia" w:ascii="宋体" w:hAnsi="宋体" w:cs="宋体"/>
          <w:bCs/>
          <w:sz w:val="28"/>
          <w:szCs w:val="28"/>
        </w:rPr>
        <w:t>（6）诚信竞包承诺函；</w:t>
      </w:r>
    </w:p>
    <w:p w14:paraId="5F32B046">
      <w:pPr>
        <w:spacing w:line="580" w:lineRule="exact"/>
        <w:ind w:firstLine="414" w:firstLineChars="148"/>
        <w:rPr>
          <w:rFonts w:hint="eastAsia" w:ascii="宋体" w:hAnsi="宋体" w:cs="宋体"/>
          <w:bCs/>
          <w:sz w:val="28"/>
          <w:szCs w:val="28"/>
        </w:rPr>
      </w:pPr>
      <w:r>
        <w:rPr>
          <w:rFonts w:hint="eastAsia" w:ascii="宋体" w:hAnsi="宋体" w:cs="宋体"/>
          <w:bCs/>
          <w:sz w:val="28"/>
          <w:szCs w:val="28"/>
        </w:rPr>
        <w:t>（7）</w:t>
      </w:r>
      <w:r>
        <w:rPr>
          <w:rFonts w:hint="eastAsia" w:ascii="宋体" w:hAnsi="宋体" w:cs="宋体"/>
          <w:bCs/>
          <w:sz w:val="28"/>
          <w:szCs w:val="28"/>
          <w:lang w:val="en-US" w:eastAsia="zh-CN"/>
        </w:rPr>
        <w:t>其他资料</w:t>
      </w:r>
      <w:r>
        <w:rPr>
          <w:rFonts w:hint="eastAsia" w:ascii="宋体" w:hAnsi="宋体" w:cs="宋体"/>
          <w:bCs/>
          <w:sz w:val="28"/>
          <w:szCs w:val="28"/>
        </w:rPr>
        <w:t>。</w:t>
      </w:r>
    </w:p>
    <w:p w14:paraId="23F6EC37">
      <w:pPr>
        <w:spacing w:line="580" w:lineRule="exact"/>
        <w:ind w:firstLine="414" w:firstLineChars="148"/>
        <w:rPr>
          <w:rFonts w:hint="eastAsia" w:ascii="宋体" w:hAnsi="宋体" w:cs="宋体"/>
          <w:bCs/>
          <w:sz w:val="28"/>
          <w:szCs w:val="28"/>
        </w:rPr>
      </w:pPr>
    </w:p>
    <w:p w14:paraId="3ED0EF60">
      <w:pPr>
        <w:pStyle w:val="97"/>
        <w:jc w:val="center"/>
        <w:rPr>
          <w:sz w:val="36"/>
          <w:szCs w:val="36"/>
        </w:rPr>
      </w:pPr>
      <w:r>
        <w:br w:type="page"/>
      </w:r>
      <w:bookmarkStart w:id="454" w:name="_Toc154675201"/>
      <w:bookmarkStart w:id="455" w:name="_Toc30557"/>
      <w:bookmarkStart w:id="456" w:name="_Toc28798"/>
      <w:r>
        <w:rPr>
          <w:rFonts w:hint="eastAsia"/>
          <w:sz w:val="36"/>
          <w:szCs w:val="36"/>
        </w:rPr>
        <w:t>一、</w:t>
      </w:r>
      <w:r>
        <w:rPr>
          <w:rFonts w:hint="eastAsia"/>
          <w:sz w:val="36"/>
          <w:szCs w:val="36"/>
          <w:lang w:val="en-US" w:eastAsia="zh-CN"/>
        </w:rPr>
        <w:t>竞包</w:t>
      </w:r>
      <w:r>
        <w:rPr>
          <w:rFonts w:hint="eastAsia"/>
          <w:sz w:val="36"/>
          <w:szCs w:val="36"/>
        </w:rPr>
        <w:t>函及</w:t>
      </w:r>
      <w:r>
        <w:rPr>
          <w:rFonts w:hint="eastAsia"/>
          <w:sz w:val="36"/>
          <w:szCs w:val="36"/>
          <w:lang w:val="en-US" w:eastAsia="zh-CN"/>
        </w:rPr>
        <w:t>竞包</w:t>
      </w:r>
      <w:r>
        <w:rPr>
          <w:rFonts w:hint="eastAsia"/>
          <w:sz w:val="36"/>
          <w:szCs w:val="36"/>
        </w:rPr>
        <w:t>函附录</w:t>
      </w:r>
      <w:bookmarkEnd w:id="454"/>
      <w:bookmarkEnd w:id="455"/>
      <w:bookmarkEnd w:id="456"/>
    </w:p>
    <w:p w14:paraId="39A3E1CD">
      <w:pPr>
        <w:spacing w:line="360" w:lineRule="auto"/>
        <w:ind w:firstLine="4050" w:firstLineChars="1350"/>
        <w:rPr>
          <w:rFonts w:eastAsia="黑体"/>
          <w:sz w:val="30"/>
          <w:szCs w:val="30"/>
        </w:rPr>
      </w:pPr>
    </w:p>
    <w:p w14:paraId="79323444">
      <w:pPr>
        <w:pStyle w:val="96"/>
        <w:jc w:val="center"/>
        <w:rPr>
          <w:sz w:val="30"/>
          <w:szCs w:val="30"/>
        </w:rPr>
      </w:pPr>
      <w:bookmarkStart w:id="457" w:name="_Toc154675202"/>
      <w:bookmarkStart w:id="458" w:name="_Toc15812"/>
      <w:r>
        <w:rPr>
          <w:rFonts w:hint="eastAsia"/>
          <w:sz w:val="30"/>
          <w:szCs w:val="30"/>
        </w:rPr>
        <w:t>（一）</w:t>
      </w:r>
      <w:r>
        <w:rPr>
          <w:rFonts w:hint="eastAsia"/>
          <w:sz w:val="30"/>
          <w:szCs w:val="30"/>
          <w:lang w:val="en-US" w:eastAsia="zh-CN"/>
        </w:rPr>
        <w:t>竞包</w:t>
      </w:r>
      <w:r>
        <w:rPr>
          <w:rFonts w:hint="eastAsia"/>
          <w:sz w:val="30"/>
          <w:szCs w:val="30"/>
        </w:rPr>
        <w:t>函</w:t>
      </w:r>
      <w:bookmarkEnd w:id="457"/>
      <w:bookmarkEnd w:id="458"/>
    </w:p>
    <w:p w14:paraId="05153FF6">
      <w:pPr>
        <w:spacing w:line="360" w:lineRule="auto"/>
        <w:rPr>
          <w:szCs w:val="21"/>
          <w:u w:val="single"/>
        </w:rPr>
      </w:pPr>
    </w:p>
    <w:p w14:paraId="063BA3FC">
      <w:pPr>
        <w:spacing w:line="360" w:lineRule="auto"/>
        <w:rPr>
          <w:szCs w:val="21"/>
        </w:rPr>
      </w:pPr>
      <w:r>
        <w:rPr>
          <w:szCs w:val="21"/>
          <w:u w:val="single"/>
        </w:rPr>
        <w:t xml:space="preserve">                        </w:t>
      </w:r>
      <w:r>
        <w:rPr>
          <w:rFonts w:hint="eastAsia"/>
          <w:szCs w:val="21"/>
        </w:rPr>
        <w:t>（</w:t>
      </w:r>
      <w:r>
        <w:rPr>
          <w:rFonts w:hint="eastAsia"/>
          <w:szCs w:val="21"/>
          <w:lang w:eastAsia="zh-CN"/>
        </w:rPr>
        <w:t>发包人</w:t>
      </w:r>
      <w:r>
        <w:rPr>
          <w:rFonts w:hint="eastAsia"/>
          <w:szCs w:val="21"/>
        </w:rPr>
        <w:t>名称）：</w:t>
      </w:r>
    </w:p>
    <w:p w14:paraId="3EF3C80A">
      <w:pPr>
        <w:spacing w:line="360" w:lineRule="auto"/>
        <w:ind w:firstLine="420" w:firstLineChars="200"/>
        <w:rPr>
          <w:szCs w:val="21"/>
        </w:rPr>
      </w:pPr>
      <w:r>
        <w:rPr>
          <w:szCs w:val="21"/>
        </w:rPr>
        <w:t>1</w:t>
      </w:r>
      <w:r>
        <w:rPr>
          <w:rFonts w:hint="eastAsia"/>
          <w:szCs w:val="21"/>
        </w:rPr>
        <w:t>．我方已仔细研究了</w:t>
      </w:r>
      <w:r>
        <w:rPr>
          <w:szCs w:val="21"/>
          <w:u w:val="single"/>
        </w:rPr>
        <w:t xml:space="preserve">          </w:t>
      </w:r>
      <w:r>
        <w:rPr>
          <w:rFonts w:hint="eastAsia"/>
          <w:szCs w:val="21"/>
        </w:rPr>
        <w:t>（项目名称）施工</w:t>
      </w:r>
      <w:r>
        <w:rPr>
          <w:rFonts w:hint="eastAsia"/>
          <w:szCs w:val="21"/>
          <w:lang w:eastAsia="zh-CN"/>
        </w:rPr>
        <w:t>发包文件</w:t>
      </w:r>
      <w:r>
        <w:rPr>
          <w:rFonts w:hint="eastAsia"/>
          <w:szCs w:val="21"/>
        </w:rPr>
        <w:t>的全部内容（含补遗书第</w:t>
      </w:r>
      <w:r>
        <w:rPr>
          <w:szCs w:val="21"/>
        </w:rPr>
        <w:t>____</w:t>
      </w:r>
      <w:r>
        <w:rPr>
          <w:rFonts w:hint="eastAsia"/>
          <w:szCs w:val="21"/>
        </w:rPr>
        <w:t>号至第</w:t>
      </w:r>
      <w:r>
        <w:rPr>
          <w:szCs w:val="21"/>
        </w:rPr>
        <w:t>____</w:t>
      </w:r>
      <w:r>
        <w:rPr>
          <w:rFonts w:hint="eastAsia"/>
          <w:szCs w:val="21"/>
        </w:rPr>
        <w:t>号），愿意以工程预算造价下浮</w:t>
      </w:r>
      <w:r>
        <w:rPr>
          <w:rFonts w:hint="eastAsia"/>
          <w:szCs w:val="21"/>
          <w:u w:val="single"/>
        </w:rPr>
        <w:t xml:space="preserve">       </w:t>
      </w:r>
      <w:r>
        <w:rPr>
          <w:rFonts w:hint="eastAsia"/>
          <w:szCs w:val="21"/>
        </w:rPr>
        <w:t xml:space="preserve"> %（下浮率法填写）进行报价，按合同约定实施和完成承包工程，修补工程中的任何缺陷。</w:t>
      </w:r>
    </w:p>
    <w:p w14:paraId="2A40A9B4">
      <w:pPr>
        <w:spacing w:line="360" w:lineRule="auto"/>
        <w:ind w:firstLine="420" w:firstLineChars="200"/>
        <w:rPr>
          <w:szCs w:val="21"/>
        </w:rPr>
      </w:pPr>
      <w:r>
        <w:rPr>
          <w:szCs w:val="21"/>
        </w:rPr>
        <w:t>2</w:t>
      </w:r>
      <w:r>
        <w:rPr>
          <w:rFonts w:hint="eastAsia"/>
          <w:szCs w:val="21"/>
        </w:rPr>
        <w:t>．我方承诺在</w:t>
      </w:r>
      <w:r>
        <w:rPr>
          <w:rFonts w:hint="eastAsia"/>
          <w:szCs w:val="21"/>
          <w:lang w:eastAsia="zh-CN"/>
        </w:rPr>
        <w:t>发包文件</w:t>
      </w:r>
      <w:r>
        <w:rPr>
          <w:rFonts w:hint="eastAsia"/>
          <w:szCs w:val="21"/>
        </w:rPr>
        <w:t>规定的</w:t>
      </w:r>
      <w:r>
        <w:rPr>
          <w:rFonts w:hint="eastAsia"/>
          <w:szCs w:val="21"/>
          <w:lang w:eastAsia="zh-CN"/>
        </w:rPr>
        <w:t>竞包</w:t>
      </w:r>
      <w:r>
        <w:rPr>
          <w:rFonts w:hint="eastAsia"/>
          <w:szCs w:val="21"/>
        </w:rPr>
        <w:t>有效期内不撤销</w:t>
      </w:r>
      <w:r>
        <w:rPr>
          <w:rFonts w:hint="eastAsia"/>
          <w:szCs w:val="21"/>
          <w:lang w:eastAsia="zh-CN"/>
        </w:rPr>
        <w:t>竞包</w:t>
      </w:r>
      <w:r>
        <w:rPr>
          <w:rFonts w:hint="eastAsia"/>
          <w:szCs w:val="21"/>
        </w:rPr>
        <w:t>文件。</w:t>
      </w:r>
    </w:p>
    <w:p w14:paraId="2950C19B">
      <w:pPr>
        <w:spacing w:line="360" w:lineRule="auto"/>
        <w:ind w:firstLine="420" w:firstLineChars="200"/>
        <w:rPr>
          <w:szCs w:val="21"/>
        </w:rPr>
      </w:pPr>
      <w:r>
        <w:rPr>
          <w:szCs w:val="21"/>
        </w:rPr>
        <w:t xml:space="preserve">3. </w:t>
      </w:r>
      <w:r>
        <w:rPr>
          <w:rFonts w:hint="eastAsia"/>
          <w:szCs w:val="21"/>
        </w:rPr>
        <w:t>工程质量达到标段工程交工验收的质量评定：</w:t>
      </w:r>
      <w:r>
        <w:rPr>
          <w:szCs w:val="21"/>
        </w:rPr>
        <w:t>_________</w:t>
      </w:r>
      <w:r>
        <w:rPr>
          <w:rFonts w:hint="eastAsia"/>
          <w:szCs w:val="21"/>
        </w:rPr>
        <w:t>；标段工程竣工验收的质量评定：</w:t>
      </w:r>
      <w:r>
        <w:rPr>
          <w:szCs w:val="21"/>
        </w:rPr>
        <w:t>_________</w:t>
      </w:r>
      <w:r>
        <w:rPr>
          <w:rFonts w:hint="eastAsia"/>
          <w:szCs w:val="21"/>
        </w:rPr>
        <w:t>。安全目标：</w:t>
      </w:r>
      <w:r>
        <w:rPr>
          <w:szCs w:val="21"/>
        </w:rPr>
        <w:t>__________</w:t>
      </w:r>
      <w:r>
        <w:rPr>
          <w:rFonts w:hint="eastAsia"/>
          <w:szCs w:val="21"/>
        </w:rPr>
        <w:t>；工期：</w:t>
      </w:r>
      <w:r>
        <w:rPr>
          <w:szCs w:val="21"/>
        </w:rPr>
        <w:t>___</w:t>
      </w:r>
      <w:r>
        <w:rPr>
          <w:rFonts w:hint="eastAsia"/>
          <w:szCs w:val="21"/>
        </w:rPr>
        <w:t>日历天；拟委任项目经理：</w:t>
      </w:r>
      <w:r>
        <w:rPr>
          <w:szCs w:val="21"/>
        </w:rPr>
        <w:t>________</w:t>
      </w:r>
      <w:r>
        <w:rPr>
          <w:rFonts w:hint="eastAsia"/>
          <w:szCs w:val="21"/>
        </w:rPr>
        <w:t>。</w:t>
      </w:r>
    </w:p>
    <w:p w14:paraId="2BF14224">
      <w:pPr>
        <w:spacing w:line="360" w:lineRule="auto"/>
        <w:ind w:firstLine="420" w:firstLineChars="200"/>
        <w:rPr>
          <w:szCs w:val="21"/>
        </w:rPr>
      </w:pPr>
      <w:r>
        <w:rPr>
          <w:szCs w:val="21"/>
        </w:rPr>
        <w:t>4</w:t>
      </w:r>
      <w:r>
        <w:rPr>
          <w:rFonts w:hint="eastAsia"/>
          <w:szCs w:val="21"/>
        </w:rPr>
        <w:t>．如</w:t>
      </w:r>
      <w:r>
        <w:rPr>
          <w:rFonts w:hint="eastAsia"/>
          <w:szCs w:val="21"/>
          <w:highlight w:val="none"/>
        </w:rPr>
        <w:t>我方</w:t>
      </w:r>
      <w:r>
        <w:rPr>
          <w:rFonts w:hint="eastAsia"/>
          <w:szCs w:val="21"/>
          <w:highlight w:val="none"/>
          <w:lang w:val="en-US" w:eastAsia="zh-CN"/>
        </w:rPr>
        <w:t>中包</w:t>
      </w:r>
      <w:r>
        <w:rPr>
          <w:rFonts w:hint="eastAsia"/>
          <w:szCs w:val="21"/>
          <w:highlight w:val="none"/>
        </w:rPr>
        <w:t>，</w:t>
      </w:r>
      <w:r>
        <w:rPr>
          <w:rFonts w:hint="eastAsia"/>
          <w:szCs w:val="21"/>
        </w:rPr>
        <w:t>我方承诺：</w:t>
      </w:r>
    </w:p>
    <w:p w14:paraId="76EEEC89">
      <w:pPr>
        <w:spacing w:line="360" w:lineRule="auto"/>
        <w:ind w:firstLine="718" w:firstLineChars="342"/>
        <w:rPr>
          <w:szCs w:val="21"/>
        </w:rPr>
      </w:pPr>
      <w:r>
        <w:rPr>
          <w:rFonts w:hint="eastAsia"/>
          <w:szCs w:val="21"/>
        </w:rPr>
        <w:t>（</w:t>
      </w:r>
      <w:r>
        <w:rPr>
          <w:szCs w:val="21"/>
        </w:rPr>
        <w:t>1</w:t>
      </w:r>
      <w:r>
        <w:rPr>
          <w:rFonts w:hint="eastAsia"/>
          <w:szCs w:val="21"/>
        </w:rPr>
        <w:t>）在收到</w:t>
      </w:r>
      <w:r>
        <w:rPr>
          <w:rFonts w:hint="eastAsia"/>
          <w:szCs w:val="21"/>
          <w:lang w:val="en-US" w:eastAsia="zh-CN"/>
        </w:rPr>
        <w:t>预承包</w:t>
      </w:r>
      <w:r>
        <w:rPr>
          <w:rFonts w:hint="eastAsia"/>
          <w:szCs w:val="21"/>
        </w:rPr>
        <w:t>通知书后，在</w:t>
      </w:r>
      <w:r>
        <w:rPr>
          <w:rFonts w:hint="eastAsia"/>
          <w:szCs w:val="21"/>
          <w:lang w:val="en-US" w:eastAsia="zh-CN"/>
        </w:rPr>
        <w:t>预承包</w:t>
      </w:r>
      <w:r>
        <w:rPr>
          <w:rFonts w:hint="eastAsia"/>
          <w:szCs w:val="21"/>
        </w:rPr>
        <w:t>通知书规定的期限内与你方签订合同；</w:t>
      </w:r>
    </w:p>
    <w:p w14:paraId="13F87236">
      <w:pPr>
        <w:spacing w:line="360" w:lineRule="auto"/>
        <w:ind w:firstLine="718" w:firstLineChars="342"/>
        <w:rPr>
          <w:szCs w:val="21"/>
        </w:rPr>
      </w:pPr>
      <w:r>
        <w:rPr>
          <w:rFonts w:hint="eastAsia"/>
          <w:szCs w:val="21"/>
        </w:rPr>
        <w:t>（</w:t>
      </w:r>
      <w:r>
        <w:rPr>
          <w:szCs w:val="21"/>
        </w:rPr>
        <w:t>2</w:t>
      </w:r>
      <w:r>
        <w:rPr>
          <w:rFonts w:hint="eastAsia"/>
          <w:szCs w:val="21"/>
        </w:rPr>
        <w:t>）在签订合同时不向你方提出条件；</w:t>
      </w:r>
    </w:p>
    <w:p w14:paraId="78516E06">
      <w:pPr>
        <w:spacing w:line="360" w:lineRule="auto"/>
        <w:ind w:firstLine="718" w:firstLineChars="342"/>
        <w:rPr>
          <w:szCs w:val="21"/>
        </w:rPr>
      </w:pPr>
      <w:r>
        <w:rPr>
          <w:rFonts w:hint="eastAsia"/>
          <w:szCs w:val="21"/>
        </w:rPr>
        <w:t>（</w:t>
      </w:r>
      <w:r>
        <w:rPr>
          <w:szCs w:val="21"/>
        </w:rPr>
        <w:t>3</w:t>
      </w:r>
      <w:r>
        <w:rPr>
          <w:rFonts w:hint="eastAsia"/>
          <w:szCs w:val="21"/>
        </w:rPr>
        <w:t>）按照</w:t>
      </w:r>
      <w:r>
        <w:rPr>
          <w:rFonts w:hint="eastAsia"/>
          <w:szCs w:val="21"/>
          <w:lang w:eastAsia="zh-CN"/>
        </w:rPr>
        <w:t>发包文件</w:t>
      </w:r>
      <w:r>
        <w:rPr>
          <w:rFonts w:hint="eastAsia"/>
          <w:szCs w:val="21"/>
        </w:rPr>
        <w:t>要求向你方递交履约保证金；</w:t>
      </w:r>
    </w:p>
    <w:p w14:paraId="46D59ADA">
      <w:pPr>
        <w:spacing w:line="360" w:lineRule="auto"/>
        <w:ind w:firstLine="718" w:firstLineChars="342"/>
        <w:rPr>
          <w:szCs w:val="21"/>
        </w:rPr>
      </w:pPr>
      <w:r>
        <w:rPr>
          <w:rFonts w:hint="eastAsia"/>
          <w:szCs w:val="21"/>
        </w:rPr>
        <w:t>（</w:t>
      </w:r>
      <w:r>
        <w:rPr>
          <w:szCs w:val="21"/>
        </w:rPr>
        <w:t>4</w:t>
      </w:r>
      <w:r>
        <w:rPr>
          <w:rFonts w:hint="eastAsia"/>
          <w:szCs w:val="21"/>
        </w:rPr>
        <w:t>）在合同约定的期限内完成合同规定的全部义务。</w:t>
      </w:r>
    </w:p>
    <w:p w14:paraId="2C8B96A9">
      <w:pPr>
        <w:spacing w:line="360" w:lineRule="auto"/>
        <w:ind w:firstLine="420" w:firstLineChars="200"/>
        <w:rPr>
          <w:szCs w:val="21"/>
        </w:rPr>
      </w:pPr>
      <w:r>
        <w:rPr>
          <w:szCs w:val="21"/>
        </w:rPr>
        <w:t>5</w:t>
      </w:r>
      <w:r>
        <w:rPr>
          <w:rFonts w:hint="eastAsia"/>
          <w:szCs w:val="21"/>
        </w:rPr>
        <w:t>．</w:t>
      </w:r>
      <w:r>
        <w:rPr>
          <w:rFonts w:hint="eastAsia"/>
        </w:rPr>
        <w:t>我方在此声明，所递交的</w:t>
      </w:r>
      <w:r>
        <w:rPr>
          <w:rFonts w:hint="eastAsia"/>
          <w:lang w:eastAsia="zh-CN"/>
        </w:rPr>
        <w:t>竞包</w:t>
      </w:r>
      <w:r>
        <w:rPr>
          <w:rFonts w:hint="eastAsia"/>
        </w:rPr>
        <w:t>文件及有关资料内容完整、真实和准确，且不存在</w:t>
      </w:r>
      <w:r>
        <w:rPr>
          <w:rFonts w:hint="eastAsia"/>
          <w:lang w:eastAsia="zh-CN"/>
        </w:rPr>
        <w:t>发包文件</w:t>
      </w:r>
      <w:r>
        <w:rPr>
          <w:rFonts w:hint="eastAsia"/>
        </w:rPr>
        <w:t>第二章</w:t>
      </w:r>
      <w:r>
        <w:t>“</w:t>
      </w:r>
      <w:r>
        <w:rPr>
          <w:rFonts w:hint="eastAsia"/>
          <w:lang w:eastAsia="zh-CN"/>
        </w:rPr>
        <w:t>竞</w:t>
      </w:r>
      <w:r>
        <w:rPr>
          <w:rFonts w:hint="eastAsia" w:ascii="Times New Roman" w:hAnsi="Times New Roman" w:eastAsia="宋体" w:cs="Times New Roman"/>
          <w:lang w:eastAsia="zh-CN"/>
        </w:rPr>
        <w:t>包人须知”第1.4.3项和1.4.4项规定的</w:t>
      </w:r>
      <w:r>
        <w:rPr>
          <w:rFonts w:hint="eastAsia"/>
        </w:rPr>
        <w:t>任何一种情形。</w:t>
      </w:r>
    </w:p>
    <w:p w14:paraId="29295B0D">
      <w:pPr>
        <w:spacing w:line="360" w:lineRule="auto"/>
        <w:ind w:firstLine="420" w:firstLineChars="200"/>
        <w:rPr>
          <w:szCs w:val="21"/>
        </w:rPr>
      </w:pPr>
      <w:r>
        <w:rPr>
          <w:szCs w:val="21"/>
        </w:rPr>
        <w:t>6</w:t>
      </w:r>
      <w:r>
        <w:rPr>
          <w:rFonts w:hint="eastAsia"/>
          <w:szCs w:val="21"/>
        </w:rPr>
        <w:t>．在合同协议书正式签署生效之前，本</w:t>
      </w:r>
      <w:r>
        <w:rPr>
          <w:rFonts w:hint="eastAsia"/>
          <w:szCs w:val="21"/>
          <w:lang w:eastAsia="zh-CN"/>
        </w:rPr>
        <w:t>竞包</w:t>
      </w:r>
      <w:r>
        <w:rPr>
          <w:rFonts w:hint="eastAsia"/>
          <w:szCs w:val="21"/>
        </w:rPr>
        <w:t>函连同你方的</w:t>
      </w:r>
      <w:r>
        <w:rPr>
          <w:rFonts w:hint="eastAsia"/>
          <w:szCs w:val="21"/>
          <w:lang w:val="en-US" w:eastAsia="zh-CN"/>
        </w:rPr>
        <w:t>预承包</w:t>
      </w:r>
      <w:r>
        <w:rPr>
          <w:rFonts w:hint="eastAsia"/>
          <w:szCs w:val="21"/>
        </w:rPr>
        <w:t>通知书将构成我们双方之间共同遵守的文件，对双方具有约束力。</w:t>
      </w:r>
    </w:p>
    <w:p w14:paraId="5BB7F489">
      <w:pPr>
        <w:spacing w:line="360" w:lineRule="auto"/>
        <w:ind w:firstLine="420" w:firstLineChars="200"/>
        <w:rPr>
          <w:szCs w:val="21"/>
        </w:rPr>
      </w:pPr>
      <w:r>
        <w:rPr>
          <w:szCs w:val="21"/>
        </w:rPr>
        <w:t xml:space="preserve">7. </w:t>
      </w:r>
      <w:r>
        <w:rPr>
          <w:szCs w:val="21"/>
          <w:u w:val="single"/>
        </w:rPr>
        <w:t xml:space="preserve">                                       </w:t>
      </w:r>
      <w:r>
        <w:rPr>
          <w:rFonts w:hint="eastAsia"/>
          <w:szCs w:val="21"/>
        </w:rPr>
        <w:t>（其他补充说明）。</w:t>
      </w:r>
    </w:p>
    <w:p w14:paraId="507AFE4F">
      <w:pPr>
        <w:spacing w:line="360" w:lineRule="auto"/>
        <w:ind w:firstLine="3675" w:firstLineChars="1750"/>
        <w:rPr>
          <w:szCs w:val="21"/>
        </w:rPr>
      </w:pPr>
    </w:p>
    <w:p w14:paraId="3328BAF9">
      <w:pPr>
        <w:spacing w:line="360" w:lineRule="auto"/>
        <w:ind w:left="3599" w:leftChars="1714" w:firstLine="105" w:firstLineChars="50"/>
        <w:rPr>
          <w:szCs w:val="21"/>
        </w:rPr>
      </w:pPr>
      <w:r>
        <w:rPr>
          <w:rFonts w:hint="eastAsia"/>
          <w:szCs w:val="21"/>
          <w:lang w:eastAsia="zh-CN"/>
        </w:rPr>
        <w:t>竞包人</w:t>
      </w:r>
      <w:r>
        <w:rPr>
          <w:rFonts w:hint="eastAsia"/>
          <w:szCs w:val="21"/>
        </w:rPr>
        <w:t>：</w:t>
      </w:r>
      <w:r>
        <w:rPr>
          <w:szCs w:val="21"/>
          <w:u w:val="single"/>
        </w:rPr>
        <w:t xml:space="preserve">                       </w:t>
      </w:r>
      <w:r>
        <w:rPr>
          <w:rFonts w:hint="eastAsia"/>
          <w:szCs w:val="21"/>
        </w:rPr>
        <w:t>（盖单位电子印章）</w:t>
      </w:r>
    </w:p>
    <w:p w14:paraId="737C708B">
      <w:pPr>
        <w:spacing w:line="360" w:lineRule="auto"/>
        <w:ind w:left="3599" w:leftChars="1714" w:firstLine="105" w:firstLineChars="50"/>
        <w:rPr>
          <w:szCs w:val="21"/>
        </w:rPr>
      </w:pPr>
      <w:r>
        <w:rPr>
          <w:rFonts w:hint="eastAsia"/>
          <w:szCs w:val="21"/>
        </w:rPr>
        <w:t>法定代表人：</w:t>
      </w:r>
      <w:r>
        <w:rPr>
          <w:szCs w:val="21"/>
          <w:u w:val="single"/>
        </w:rPr>
        <w:t xml:space="preserve">              </w:t>
      </w:r>
      <w:r>
        <w:rPr>
          <w:rFonts w:hint="eastAsia"/>
          <w:szCs w:val="21"/>
        </w:rPr>
        <w:t>（盖法定代表人电子章）</w:t>
      </w:r>
    </w:p>
    <w:p w14:paraId="6C59AFC4">
      <w:pPr>
        <w:spacing w:line="360" w:lineRule="auto"/>
        <w:ind w:firstLine="3675" w:firstLineChars="1750"/>
        <w:rPr>
          <w:szCs w:val="21"/>
        </w:rPr>
      </w:pPr>
      <w:r>
        <w:rPr>
          <w:rFonts w:hint="eastAsia"/>
          <w:szCs w:val="21"/>
        </w:rPr>
        <w:t>地址：</w:t>
      </w:r>
      <w:r>
        <w:rPr>
          <w:szCs w:val="21"/>
          <w:u w:val="single"/>
        </w:rPr>
        <w:t xml:space="preserve">                                     </w:t>
      </w:r>
    </w:p>
    <w:p w14:paraId="7613E4CA">
      <w:pPr>
        <w:spacing w:line="360" w:lineRule="auto"/>
        <w:ind w:firstLine="3675" w:firstLineChars="1750"/>
        <w:rPr>
          <w:szCs w:val="21"/>
        </w:rPr>
      </w:pPr>
      <w:r>
        <w:rPr>
          <w:rFonts w:hint="eastAsia"/>
          <w:szCs w:val="21"/>
        </w:rPr>
        <w:t>网址：</w:t>
      </w:r>
      <w:r>
        <w:rPr>
          <w:szCs w:val="21"/>
          <w:u w:val="single"/>
        </w:rPr>
        <w:t xml:space="preserve">                                     </w:t>
      </w:r>
    </w:p>
    <w:p w14:paraId="6C25F63F">
      <w:pPr>
        <w:spacing w:line="360" w:lineRule="auto"/>
        <w:ind w:firstLine="3675" w:firstLineChars="1750"/>
        <w:rPr>
          <w:szCs w:val="21"/>
        </w:rPr>
      </w:pPr>
      <w:r>
        <w:rPr>
          <w:rFonts w:hint="eastAsia"/>
          <w:szCs w:val="21"/>
        </w:rPr>
        <w:t>电话：</w:t>
      </w:r>
      <w:r>
        <w:rPr>
          <w:szCs w:val="21"/>
          <w:u w:val="single"/>
        </w:rPr>
        <w:t xml:space="preserve">                                     </w:t>
      </w:r>
    </w:p>
    <w:p w14:paraId="4C60A5B8">
      <w:pPr>
        <w:spacing w:line="360" w:lineRule="auto"/>
        <w:ind w:firstLine="3675" w:firstLineChars="1750"/>
        <w:rPr>
          <w:szCs w:val="21"/>
        </w:rPr>
      </w:pPr>
      <w:r>
        <w:rPr>
          <w:rFonts w:hint="eastAsia"/>
          <w:szCs w:val="21"/>
        </w:rPr>
        <w:t>传真：</w:t>
      </w:r>
      <w:r>
        <w:rPr>
          <w:szCs w:val="21"/>
          <w:u w:val="single"/>
        </w:rPr>
        <w:t xml:space="preserve">                                     </w:t>
      </w:r>
    </w:p>
    <w:p w14:paraId="59A12BC2">
      <w:pPr>
        <w:spacing w:line="360" w:lineRule="auto"/>
        <w:ind w:firstLine="3675" w:firstLineChars="1750"/>
        <w:rPr>
          <w:szCs w:val="21"/>
        </w:rPr>
      </w:pPr>
      <w:r>
        <w:rPr>
          <w:rFonts w:hint="eastAsia"/>
          <w:szCs w:val="21"/>
        </w:rPr>
        <w:t>邮政编码：</w:t>
      </w:r>
      <w:r>
        <w:rPr>
          <w:szCs w:val="21"/>
          <w:u w:val="single"/>
        </w:rPr>
        <w:t xml:space="preserve">                                 </w:t>
      </w:r>
    </w:p>
    <w:p w14:paraId="3A9114ED">
      <w:pPr>
        <w:spacing w:line="360" w:lineRule="auto"/>
        <w:ind w:firstLine="5040" w:firstLineChars="24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1B024446">
      <w:pPr>
        <w:spacing w:line="360" w:lineRule="auto"/>
        <w:rPr>
          <w:rFonts w:eastAsia="黑体"/>
          <w:sz w:val="20"/>
          <w:szCs w:val="20"/>
        </w:rPr>
      </w:pPr>
      <w:r>
        <w:rPr>
          <w:szCs w:val="21"/>
        </w:rPr>
        <w:br w:type="page"/>
      </w:r>
    </w:p>
    <w:p w14:paraId="107AE6C6">
      <w:pPr>
        <w:pStyle w:val="96"/>
        <w:jc w:val="center"/>
        <w:rPr>
          <w:sz w:val="30"/>
          <w:szCs w:val="30"/>
        </w:rPr>
      </w:pPr>
      <w:bookmarkStart w:id="459" w:name="_Toc28396"/>
      <w:bookmarkStart w:id="460" w:name="_Toc154675203"/>
      <w:r>
        <w:rPr>
          <w:rFonts w:hint="eastAsia"/>
          <w:sz w:val="30"/>
          <w:szCs w:val="30"/>
        </w:rPr>
        <w:t>（二）</w:t>
      </w:r>
      <w:r>
        <w:rPr>
          <w:rFonts w:hint="eastAsia"/>
          <w:sz w:val="30"/>
          <w:szCs w:val="30"/>
          <w:lang w:val="en-US" w:eastAsia="zh-CN"/>
        </w:rPr>
        <w:t>竞包</w:t>
      </w:r>
      <w:r>
        <w:rPr>
          <w:rFonts w:hint="eastAsia"/>
          <w:sz w:val="30"/>
          <w:szCs w:val="30"/>
        </w:rPr>
        <w:t>函附录</w:t>
      </w:r>
      <w:bookmarkEnd w:id="459"/>
      <w:bookmarkEnd w:id="460"/>
    </w:p>
    <w:p w14:paraId="5D7A65AC">
      <w:pPr>
        <w:spacing w:line="360" w:lineRule="auto"/>
        <w:rPr>
          <w:rFonts w:eastAsia="黑体"/>
          <w:sz w:val="20"/>
          <w:szCs w:val="20"/>
        </w:rPr>
      </w:pPr>
    </w:p>
    <w:tbl>
      <w:tblPr>
        <w:tblStyle w:val="44"/>
        <w:tblW w:w="5036" w:type="pct"/>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482"/>
        <w:gridCol w:w="1612"/>
        <w:gridCol w:w="3467"/>
        <w:gridCol w:w="867"/>
      </w:tblGrid>
      <w:tr w14:paraId="63B9259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66AE0BF3">
            <w:pPr>
              <w:spacing w:line="240" w:lineRule="auto"/>
              <w:jc w:val="center"/>
              <w:rPr>
                <w:b/>
                <w:szCs w:val="21"/>
              </w:rPr>
            </w:pPr>
            <w:r>
              <w:rPr>
                <w:rFonts w:hint="eastAsia"/>
                <w:b/>
                <w:szCs w:val="21"/>
              </w:rPr>
              <w:t>序号</w:t>
            </w:r>
          </w:p>
        </w:tc>
        <w:tc>
          <w:tcPr>
            <w:tcW w:w="1361" w:type="pct"/>
            <w:vAlign w:val="center"/>
          </w:tcPr>
          <w:p w14:paraId="4CDDD712">
            <w:pPr>
              <w:spacing w:line="240" w:lineRule="auto"/>
              <w:jc w:val="center"/>
              <w:rPr>
                <w:b/>
                <w:szCs w:val="21"/>
              </w:rPr>
            </w:pPr>
            <w:r>
              <w:rPr>
                <w:rFonts w:hint="eastAsia"/>
                <w:b/>
                <w:szCs w:val="21"/>
              </w:rPr>
              <w:t>条款名称</w:t>
            </w:r>
          </w:p>
        </w:tc>
        <w:tc>
          <w:tcPr>
            <w:tcW w:w="884" w:type="pct"/>
            <w:vAlign w:val="center"/>
          </w:tcPr>
          <w:p w14:paraId="14B228C8">
            <w:pPr>
              <w:spacing w:line="240" w:lineRule="auto"/>
              <w:jc w:val="center"/>
              <w:rPr>
                <w:b/>
                <w:szCs w:val="21"/>
              </w:rPr>
            </w:pPr>
            <w:r>
              <w:rPr>
                <w:rFonts w:hint="eastAsia"/>
                <w:b/>
                <w:szCs w:val="21"/>
              </w:rPr>
              <w:t>合同条款号</w:t>
            </w:r>
          </w:p>
        </w:tc>
        <w:tc>
          <w:tcPr>
            <w:tcW w:w="1901" w:type="pct"/>
            <w:vAlign w:val="center"/>
          </w:tcPr>
          <w:p w14:paraId="387F5D0A">
            <w:pPr>
              <w:spacing w:line="240" w:lineRule="auto"/>
              <w:jc w:val="center"/>
              <w:rPr>
                <w:b/>
                <w:szCs w:val="21"/>
              </w:rPr>
            </w:pPr>
            <w:r>
              <w:rPr>
                <w:rFonts w:hint="eastAsia"/>
                <w:b/>
                <w:szCs w:val="21"/>
              </w:rPr>
              <w:t>约定内容</w:t>
            </w:r>
          </w:p>
        </w:tc>
        <w:tc>
          <w:tcPr>
            <w:tcW w:w="475" w:type="pct"/>
            <w:vAlign w:val="center"/>
          </w:tcPr>
          <w:p w14:paraId="470BCFB5">
            <w:pPr>
              <w:spacing w:line="240" w:lineRule="auto"/>
              <w:jc w:val="center"/>
              <w:rPr>
                <w:b/>
                <w:szCs w:val="21"/>
              </w:rPr>
            </w:pPr>
            <w:r>
              <w:rPr>
                <w:rFonts w:hint="eastAsia"/>
                <w:b/>
                <w:szCs w:val="21"/>
              </w:rPr>
              <w:t>备注</w:t>
            </w:r>
          </w:p>
        </w:tc>
      </w:tr>
      <w:tr w14:paraId="1688DB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60EC6A34">
            <w:pPr>
              <w:spacing w:line="240" w:lineRule="auto"/>
              <w:rPr>
                <w:szCs w:val="21"/>
              </w:rPr>
            </w:pPr>
            <w:r>
              <w:rPr>
                <w:szCs w:val="21"/>
              </w:rPr>
              <w:t>1</w:t>
            </w:r>
          </w:p>
        </w:tc>
        <w:tc>
          <w:tcPr>
            <w:tcW w:w="1361" w:type="pct"/>
            <w:vAlign w:val="center"/>
          </w:tcPr>
          <w:p w14:paraId="570E81D7">
            <w:pPr>
              <w:spacing w:line="240" w:lineRule="auto"/>
              <w:rPr>
                <w:szCs w:val="21"/>
              </w:rPr>
            </w:pPr>
            <w:r>
              <w:rPr>
                <w:rFonts w:hint="eastAsia"/>
                <w:szCs w:val="21"/>
              </w:rPr>
              <w:t>缺陷责任期</w:t>
            </w:r>
          </w:p>
        </w:tc>
        <w:tc>
          <w:tcPr>
            <w:tcW w:w="884" w:type="pct"/>
            <w:vAlign w:val="center"/>
          </w:tcPr>
          <w:p w14:paraId="028AA439">
            <w:pPr>
              <w:spacing w:line="240" w:lineRule="auto"/>
              <w:rPr>
                <w:szCs w:val="21"/>
              </w:rPr>
            </w:pPr>
            <w:r>
              <w:rPr>
                <w:szCs w:val="21"/>
              </w:rPr>
              <w:t>1.1.4.5</w:t>
            </w:r>
          </w:p>
        </w:tc>
        <w:tc>
          <w:tcPr>
            <w:tcW w:w="1901" w:type="pct"/>
            <w:vAlign w:val="center"/>
          </w:tcPr>
          <w:p w14:paraId="470C575F">
            <w:pPr>
              <w:spacing w:line="240" w:lineRule="auto"/>
              <w:rPr>
                <w:szCs w:val="21"/>
              </w:rPr>
            </w:pPr>
            <w:r>
              <w:rPr>
                <w:rFonts w:hint="eastAsia"/>
                <w:szCs w:val="21"/>
              </w:rPr>
              <w:t>自实际交工日期起计算</w:t>
            </w:r>
            <w:r>
              <w:rPr>
                <w:szCs w:val="21"/>
              </w:rPr>
              <w:t>____</w:t>
            </w:r>
            <w:r>
              <w:rPr>
                <w:rFonts w:hint="eastAsia"/>
                <w:szCs w:val="21"/>
              </w:rPr>
              <w:t>年</w:t>
            </w:r>
          </w:p>
        </w:tc>
        <w:tc>
          <w:tcPr>
            <w:tcW w:w="475" w:type="pct"/>
            <w:vAlign w:val="center"/>
          </w:tcPr>
          <w:p w14:paraId="71D9DC3F">
            <w:pPr>
              <w:spacing w:line="240" w:lineRule="auto"/>
              <w:rPr>
                <w:szCs w:val="21"/>
              </w:rPr>
            </w:pPr>
          </w:p>
        </w:tc>
      </w:tr>
      <w:tr w14:paraId="5A475BE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0882125F">
            <w:pPr>
              <w:spacing w:line="240" w:lineRule="auto"/>
              <w:rPr>
                <w:szCs w:val="21"/>
              </w:rPr>
            </w:pPr>
            <w:r>
              <w:rPr>
                <w:szCs w:val="21"/>
              </w:rPr>
              <w:t>2</w:t>
            </w:r>
          </w:p>
        </w:tc>
        <w:tc>
          <w:tcPr>
            <w:tcW w:w="1361" w:type="pct"/>
            <w:vAlign w:val="center"/>
          </w:tcPr>
          <w:p w14:paraId="505166BC">
            <w:pPr>
              <w:spacing w:line="240" w:lineRule="auto"/>
              <w:rPr>
                <w:szCs w:val="21"/>
              </w:rPr>
            </w:pPr>
            <w:r>
              <w:rPr>
                <w:rFonts w:hint="eastAsia"/>
                <w:szCs w:val="21"/>
              </w:rPr>
              <w:t>逾期交工违约金</w:t>
            </w:r>
          </w:p>
        </w:tc>
        <w:tc>
          <w:tcPr>
            <w:tcW w:w="884" w:type="pct"/>
            <w:vAlign w:val="center"/>
          </w:tcPr>
          <w:p w14:paraId="78BAA1E6">
            <w:pPr>
              <w:spacing w:line="240" w:lineRule="auto"/>
              <w:rPr>
                <w:szCs w:val="21"/>
              </w:rPr>
            </w:pPr>
            <w:r>
              <w:rPr>
                <w:szCs w:val="21"/>
              </w:rPr>
              <w:t>11.5</w:t>
            </w:r>
            <w:r>
              <w:rPr>
                <w:rFonts w:hint="eastAsia"/>
                <w:szCs w:val="21"/>
              </w:rPr>
              <w:t>（</w:t>
            </w:r>
            <w:r>
              <w:rPr>
                <w:szCs w:val="21"/>
              </w:rPr>
              <w:t>3</w:t>
            </w:r>
            <w:r>
              <w:rPr>
                <w:rFonts w:hint="eastAsia"/>
                <w:szCs w:val="21"/>
              </w:rPr>
              <w:t>）</w:t>
            </w:r>
          </w:p>
        </w:tc>
        <w:tc>
          <w:tcPr>
            <w:tcW w:w="1901" w:type="pct"/>
            <w:vAlign w:val="center"/>
          </w:tcPr>
          <w:p w14:paraId="5CC40A1F">
            <w:pPr>
              <w:spacing w:line="240" w:lineRule="auto"/>
              <w:rPr>
                <w:szCs w:val="21"/>
              </w:rPr>
            </w:pPr>
            <w:r>
              <w:rPr>
                <w:szCs w:val="21"/>
              </w:rPr>
              <w:t>____</w:t>
            </w:r>
            <w:r>
              <w:rPr>
                <w:rFonts w:hint="eastAsia"/>
                <w:szCs w:val="21"/>
              </w:rPr>
              <w:t>元</w:t>
            </w:r>
            <w:r>
              <w:rPr>
                <w:szCs w:val="21"/>
              </w:rPr>
              <w:t>/</w:t>
            </w:r>
            <w:r>
              <w:rPr>
                <w:rFonts w:hint="eastAsia"/>
                <w:szCs w:val="21"/>
              </w:rPr>
              <w:t>天</w:t>
            </w:r>
          </w:p>
        </w:tc>
        <w:tc>
          <w:tcPr>
            <w:tcW w:w="475" w:type="pct"/>
            <w:vAlign w:val="center"/>
          </w:tcPr>
          <w:p w14:paraId="37549781">
            <w:pPr>
              <w:spacing w:line="240" w:lineRule="auto"/>
              <w:rPr>
                <w:szCs w:val="21"/>
              </w:rPr>
            </w:pPr>
          </w:p>
        </w:tc>
      </w:tr>
      <w:tr w14:paraId="1B90BA4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04386CD1">
            <w:pPr>
              <w:spacing w:line="240" w:lineRule="auto"/>
              <w:rPr>
                <w:szCs w:val="21"/>
              </w:rPr>
            </w:pPr>
            <w:r>
              <w:rPr>
                <w:szCs w:val="21"/>
              </w:rPr>
              <w:t>3</w:t>
            </w:r>
          </w:p>
        </w:tc>
        <w:tc>
          <w:tcPr>
            <w:tcW w:w="1361" w:type="pct"/>
            <w:vAlign w:val="center"/>
          </w:tcPr>
          <w:p w14:paraId="5D35F25E">
            <w:pPr>
              <w:spacing w:line="240" w:lineRule="auto"/>
              <w:rPr>
                <w:szCs w:val="21"/>
              </w:rPr>
            </w:pPr>
            <w:r>
              <w:rPr>
                <w:rFonts w:hint="eastAsia"/>
                <w:szCs w:val="21"/>
              </w:rPr>
              <w:t>逾期交工违约金限额</w:t>
            </w:r>
          </w:p>
        </w:tc>
        <w:tc>
          <w:tcPr>
            <w:tcW w:w="884" w:type="pct"/>
            <w:vAlign w:val="center"/>
          </w:tcPr>
          <w:p w14:paraId="653637A5">
            <w:pPr>
              <w:spacing w:line="240" w:lineRule="auto"/>
              <w:rPr>
                <w:szCs w:val="21"/>
              </w:rPr>
            </w:pPr>
            <w:r>
              <w:rPr>
                <w:szCs w:val="21"/>
              </w:rPr>
              <w:t>11.5</w:t>
            </w:r>
            <w:r>
              <w:rPr>
                <w:rFonts w:hint="eastAsia"/>
                <w:szCs w:val="21"/>
              </w:rPr>
              <w:t>（</w:t>
            </w:r>
            <w:r>
              <w:rPr>
                <w:szCs w:val="21"/>
              </w:rPr>
              <w:t>3</w:t>
            </w:r>
            <w:r>
              <w:rPr>
                <w:rFonts w:hint="eastAsia"/>
                <w:szCs w:val="21"/>
              </w:rPr>
              <w:t>）</w:t>
            </w:r>
          </w:p>
        </w:tc>
        <w:tc>
          <w:tcPr>
            <w:tcW w:w="1901" w:type="pct"/>
            <w:vAlign w:val="center"/>
          </w:tcPr>
          <w:p w14:paraId="3C369BB4">
            <w:pPr>
              <w:spacing w:line="240" w:lineRule="auto"/>
              <w:rPr>
                <w:szCs w:val="21"/>
              </w:rPr>
            </w:pPr>
            <w:r>
              <w:rPr>
                <w:szCs w:val="21"/>
              </w:rPr>
              <w:t>____%</w:t>
            </w:r>
            <w:r>
              <w:rPr>
                <w:rFonts w:hint="eastAsia"/>
                <w:szCs w:val="21"/>
              </w:rPr>
              <w:t>签约合同价</w:t>
            </w:r>
          </w:p>
        </w:tc>
        <w:tc>
          <w:tcPr>
            <w:tcW w:w="475" w:type="pct"/>
            <w:vAlign w:val="center"/>
          </w:tcPr>
          <w:p w14:paraId="421DD18E">
            <w:pPr>
              <w:spacing w:line="240" w:lineRule="auto"/>
              <w:rPr>
                <w:szCs w:val="21"/>
              </w:rPr>
            </w:pPr>
          </w:p>
        </w:tc>
      </w:tr>
      <w:tr w14:paraId="6523967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7B6E97CC">
            <w:pPr>
              <w:spacing w:line="240" w:lineRule="auto"/>
              <w:rPr>
                <w:szCs w:val="21"/>
              </w:rPr>
            </w:pPr>
            <w:r>
              <w:rPr>
                <w:szCs w:val="21"/>
              </w:rPr>
              <w:t>4</w:t>
            </w:r>
          </w:p>
        </w:tc>
        <w:tc>
          <w:tcPr>
            <w:tcW w:w="1361" w:type="pct"/>
            <w:vAlign w:val="center"/>
          </w:tcPr>
          <w:p w14:paraId="6E758F0B">
            <w:pPr>
              <w:spacing w:line="240" w:lineRule="auto"/>
              <w:rPr>
                <w:szCs w:val="21"/>
              </w:rPr>
            </w:pPr>
            <w:r>
              <w:rPr>
                <w:rFonts w:hint="eastAsia"/>
                <w:szCs w:val="21"/>
              </w:rPr>
              <w:t>提前交工的奖金</w:t>
            </w:r>
          </w:p>
        </w:tc>
        <w:tc>
          <w:tcPr>
            <w:tcW w:w="884" w:type="pct"/>
            <w:vAlign w:val="center"/>
          </w:tcPr>
          <w:p w14:paraId="1F7F2E80">
            <w:pPr>
              <w:spacing w:line="240" w:lineRule="auto"/>
              <w:rPr>
                <w:szCs w:val="21"/>
              </w:rPr>
            </w:pPr>
            <w:r>
              <w:rPr>
                <w:szCs w:val="21"/>
              </w:rPr>
              <w:t>11.6</w:t>
            </w:r>
          </w:p>
        </w:tc>
        <w:tc>
          <w:tcPr>
            <w:tcW w:w="1901" w:type="pct"/>
            <w:vAlign w:val="center"/>
          </w:tcPr>
          <w:p w14:paraId="16DD9B08">
            <w:pPr>
              <w:spacing w:line="240" w:lineRule="auto"/>
              <w:rPr>
                <w:szCs w:val="21"/>
                <w:u w:val="single"/>
              </w:rPr>
            </w:pPr>
            <w:r>
              <w:rPr>
                <w:szCs w:val="21"/>
              </w:rPr>
              <w:t>____</w:t>
            </w:r>
            <w:r>
              <w:rPr>
                <w:rFonts w:hint="eastAsia"/>
                <w:szCs w:val="21"/>
              </w:rPr>
              <w:t>元</w:t>
            </w:r>
            <w:r>
              <w:rPr>
                <w:szCs w:val="21"/>
              </w:rPr>
              <w:t>/</w:t>
            </w:r>
            <w:r>
              <w:rPr>
                <w:rFonts w:hint="eastAsia"/>
                <w:szCs w:val="21"/>
              </w:rPr>
              <w:t>天</w:t>
            </w:r>
          </w:p>
        </w:tc>
        <w:tc>
          <w:tcPr>
            <w:tcW w:w="475" w:type="pct"/>
            <w:vAlign w:val="center"/>
          </w:tcPr>
          <w:p w14:paraId="6D797380">
            <w:pPr>
              <w:spacing w:line="240" w:lineRule="auto"/>
              <w:rPr>
                <w:szCs w:val="21"/>
              </w:rPr>
            </w:pPr>
          </w:p>
        </w:tc>
      </w:tr>
      <w:tr w14:paraId="2A16A68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1B310AAC">
            <w:pPr>
              <w:spacing w:line="240" w:lineRule="auto"/>
              <w:rPr>
                <w:szCs w:val="21"/>
              </w:rPr>
            </w:pPr>
            <w:r>
              <w:rPr>
                <w:szCs w:val="21"/>
              </w:rPr>
              <w:t>5</w:t>
            </w:r>
          </w:p>
        </w:tc>
        <w:tc>
          <w:tcPr>
            <w:tcW w:w="1361" w:type="pct"/>
            <w:vAlign w:val="center"/>
          </w:tcPr>
          <w:p w14:paraId="4CF50DBD">
            <w:pPr>
              <w:spacing w:line="240" w:lineRule="auto"/>
              <w:rPr>
                <w:szCs w:val="21"/>
              </w:rPr>
            </w:pPr>
            <w:r>
              <w:rPr>
                <w:rFonts w:hint="eastAsia"/>
                <w:szCs w:val="21"/>
              </w:rPr>
              <w:t>提前交工的奖金限额</w:t>
            </w:r>
          </w:p>
        </w:tc>
        <w:tc>
          <w:tcPr>
            <w:tcW w:w="884" w:type="pct"/>
            <w:vAlign w:val="center"/>
          </w:tcPr>
          <w:p w14:paraId="4177ED91">
            <w:pPr>
              <w:spacing w:line="240" w:lineRule="auto"/>
              <w:rPr>
                <w:szCs w:val="21"/>
              </w:rPr>
            </w:pPr>
            <w:r>
              <w:rPr>
                <w:szCs w:val="21"/>
              </w:rPr>
              <w:t>11.6</w:t>
            </w:r>
          </w:p>
        </w:tc>
        <w:tc>
          <w:tcPr>
            <w:tcW w:w="1901" w:type="pct"/>
            <w:vAlign w:val="center"/>
          </w:tcPr>
          <w:p w14:paraId="3B23FC44">
            <w:pPr>
              <w:spacing w:line="240" w:lineRule="auto"/>
              <w:rPr>
                <w:szCs w:val="21"/>
                <w:u w:val="single"/>
              </w:rPr>
            </w:pPr>
            <w:r>
              <w:rPr>
                <w:szCs w:val="21"/>
              </w:rPr>
              <w:t>____%</w:t>
            </w:r>
            <w:r>
              <w:rPr>
                <w:rFonts w:hint="eastAsia"/>
                <w:szCs w:val="21"/>
              </w:rPr>
              <w:t>签约合同价</w:t>
            </w:r>
          </w:p>
        </w:tc>
        <w:tc>
          <w:tcPr>
            <w:tcW w:w="475" w:type="pct"/>
            <w:vAlign w:val="center"/>
          </w:tcPr>
          <w:p w14:paraId="6587A7C3">
            <w:pPr>
              <w:spacing w:line="240" w:lineRule="auto"/>
              <w:rPr>
                <w:szCs w:val="21"/>
              </w:rPr>
            </w:pPr>
          </w:p>
        </w:tc>
      </w:tr>
      <w:tr w14:paraId="443C9D0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513FF68D">
            <w:pPr>
              <w:spacing w:line="240" w:lineRule="auto"/>
              <w:rPr>
                <w:szCs w:val="21"/>
              </w:rPr>
            </w:pPr>
            <w:r>
              <w:rPr>
                <w:szCs w:val="21"/>
              </w:rPr>
              <w:t>6</w:t>
            </w:r>
          </w:p>
        </w:tc>
        <w:tc>
          <w:tcPr>
            <w:tcW w:w="1361" w:type="pct"/>
            <w:vAlign w:val="center"/>
          </w:tcPr>
          <w:p w14:paraId="58B7EAE0">
            <w:pPr>
              <w:spacing w:line="240" w:lineRule="auto"/>
              <w:rPr>
                <w:szCs w:val="21"/>
              </w:rPr>
            </w:pPr>
            <w:r>
              <w:rPr>
                <w:rFonts w:hint="eastAsia"/>
                <w:szCs w:val="21"/>
              </w:rPr>
              <w:t>价格调整的差额计算</w:t>
            </w:r>
          </w:p>
        </w:tc>
        <w:tc>
          <w:tcPr>
            <w:tcW w:w="884" w:type="pct"/>
            <w:vAlign w:val="center"/>
          </w:tcPr>
          <w:p w14:paraId="74B28EA5">
            <w:pPr>
              <w:spacing w:line="240" w:lineRule="auto"/>
              <w:rPr>
                <w:szCs w:val="21"/>
              </w:rPr>
            </w:pPr>
            <w:r>
              <w:rPr>
                <w:szCs w:val="21"/>
              </w:rPr>
              <w:t>16.1</w:t>
            </w:r>
          </w:p>
        </w:tc>
        <w:tc>
          <w:tcPr>
            <w:tcW w:w="1901" w:type="pct"/>
            <w:vAlign w:val="center"/>
          </w:tcPr>
          <w:p w14:paraId="69E36459">
            <w:pPr>
              <w:spacing w:line="240" w:lineRule="auto"/>
              <w:rPr>
                <w:szCs w:val="21"/>
              </w:rPr>
            </w:pPr>
            <w:r>
              <w:rPr>
                <w:rFonts w:ascii="宋体" w:hAnsi="宋体"/>
                <w:szCs w:val="21"/>
              </w:rPr>
              <w:t>□</w:t>
            </w:r>
            <w:r>
              <w:rPr>
                <w:rFonts w:hint="eastAsia"/>
                <w:szCs w:val="21"/>
              </w:rPr>
              <w:t>采用价格指数调整价格差额：见价格指数和权重表</w:t>
            </w:r>
          </w:p>
          <w:p w14:paraId="57D9120E">
            <w:pPr>
              <w:spacing w:line="240" w:lineRule="auto"/>
              <w:rPr>
                <w:szCs w:val="21"/>
              </w:rPr>
            </w:pPr>
            <w:r>
              <w:rPr>
                <w:rFonts w:ascii="宋体" w:hAnsi="宋体"/>
                <w:szCs w:val="21"/>
              </w:rPr>
              <w:t>□</w:t>
            </w:r>
            <w:r>
              <w:rPr>
                <w:rFonts w:hint="eastAsia"/>
                <w:szCs w:val="21"/>
              </w:rPr>
              <w:t>采用造价信息调整价格差额</w:t>
            </w:r>
          </w:p>
        </w:tc>
        <w:tc>
          <w:tcPr>
            <w:tcW w:w="475" w:type="pct"/>
            <w:vAlign w:val="center"/>
          </w:tcPr>
          <w:p w14:paraId="3FB217B1">
            <w:pPr>
              <w:spacing w:line="240" w:lineRule="auto"/>
              <w:rPr>
                <w:szCs w:val="21"/>
              </w:rPr>
            </w:pPr>
          </w:p>
        </w:tc>
      </w:tr>
      <w:tr w14:paraId="14DF9A0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40D6251B">
            <w:pPr>
              <w:spacing w:line="240" w:lineRule="auto"/>
              <w:rPr>
                <w:szCs w:val="21"/>
              </w:rPr>
            </w:pPr>
            <w:r>
              <w:rPr>
                <w:szCs w:val="21"/>
              </w:rPr>
              <w:t>7</w:t>
            </w:r>
          </w:p>
        </w:tc>
        <w:tc>
          <w:tcPr>
            <w:tcW w:w="1361" w:type="pct"/>
            <w:vAlign w:val="center"/>
          </w:tcPr>
          <w:p w14:paraId="01AE30E8">
            <w:pPr>
              <w:spacing w:line="240" w:lineRule="auto"/>
              <w:rPr>
                <w:szCs w:val="21"/>
              </w:rPr>
            </w:pPr>
            <w:r>
              <w:rPr>
                <w:rFonts w:hint="eastAsia"/>
                <w:szCs w:val="21"/>
              </w:rPr>
              <w:t>开工预付款金额</w:t>
            </w:r>
          </w:p>
        </w:tc>
        <w:tc>
          <w:tcPr>
            <w:tcW w:w="884" w:type="pct"/>
            <w:vAlign w:val="center"/>
          </w:tcPr>
          <w:p w14:paraId="213BB186">
            <w:pPr>
              <w:spacing w:line="240" w:lineRule="auto"/>
              <w:rPr>
                <w:szCs w:val="21"/>
              </w:rPr>
            </w:pPr>
            <w:r>
              <w:rPr>
                <w:szCs w:val="21"/>
              </w:rPr>
              <w:t>17.2.1</w:t>
            </w:r>
            <w:r>
              <w:rPr>
                <w:rFonts w:hint="eastAsia"/>
                <w:szCs w:val="21"/>
              </w:rPr>
              <w:t>（</w:t>
            </w:r>
            <w:r>
              <w:rPr>
                <w:szCs w:val="21"/>
              </w:rPr>
              <w:t>1</w:t>
            </w:r>
            <w:r>
              <w:rPr>
                <w:rFonts w:hint="eastAsia"/>
                <w:szCs w:val="21"/>
              </w:rPr>
              <w:t>）</w:t>
            </w:r>
          </w:p>
        </w:tc>
        <w:tc>
          <w:tcPr>
            <w:tcW w:w="1901" w:type="pct"/>
            <w:vAlign w:val="center"/>
          </w:tcPr>
          <w:p w14:paraId="584C6BA3">
            <w:pPr>
              <w:spacing w:line="240" w:lineRule="auto"/>
              <w:rPr>
                <w:szCs w:val="21"/>
              </w:rPr>
            </w:pPr>
            <w:r>
              <w:rPr>
                <w:szCs w:val="21"/>
              </w:rPr>
              <w:t>____%</w:t>
            </w:r>
            <w:r>
              <w:rPr>
                <w:rFonts w:hint="eastAsia"/>
                <w:szCs w:val="21"/>
              </w:rPr>
              <w:t>签约合同价</w:t>
            </w:r>
          </w:p>
        </w:tc>
        <w:tc>
          <w:tcPr>
            <w:tcW w:w="475" w:type="pct"/>
            <w:vAlign w:val="center"/>
          </w:tcPr>
          <w:p w14:paraId="1DA55AEA">
            <w:pPr>
              <w:spacing w:line="240" w:lineRule="auto"/>
              <w:rPr>
                <w:szCs w:val="21"/>
              </w:rPr>
            </w:pPr>
          </w:p>
        </w:tc>
      </w:tr>
      <w:tr w14:paraId="37B368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5A3D5A82">
            <w:pPr>
              <w:spacing w:line="240" w:lineRule="auto"/>
              <w:rPr>
                <w:szCs w:val="21"/>
              </w:rPr>
            </w:pPr>
            <w:r>
              <w:rPr>
                <w:szCs w:val="21"/>
              </w:rPr>
              <w:t>8</w:t>
            </w:r>
          </w:p>
        </w:tc>
        <w:tc>
          <w:tcPr>
            <w:tcW w:w="1361" w:type="pct"/>
            <w:vAlign w:val="center"/>
          </w:tcPr>
          <w:p w14:paraId="29203E27">
            <w:pPr>
              <w:spacing w:line="240" w:lineRule="auto"/>
              <w:rPr>
                <w:szCs w:val="21"/>
              </w:rPr>
            </w:pPr>
            <w:r>
              <w:rPr>
                <w:rFonts w:hint="eastAsia"/>
                <w:szCs w:val="21"/>
              </w:rPr>
              <w:t>材料、设备预付款比例</w:t>
            </w:r>
          </w:p>
        </w:tc>
        <w:tc>
          <w:tcPr>
            <w:tcW w:w="884" w:type="pct"/>
            <w:vAlign w:val="center"/>
          </w:tcPr>
          <w:p w14:paraId="7C2FCAB6">
            <w:pPr>
              <w:spacing w:line="240" w:lineRule="auto"/>
              <w:rPr>
                <w:szCs w:val="21"/>
              </w:rPr>
            </w:pPr>
            <w:r>
              <w:rPr>
                <w:szCs w:val="21"/>
              </w:rPr>
              <w:t>17.2.1</w:t>
            </w:r>
            <w:r>
              <w:rPr>
                <w:rFonts w:hint="eastAsia"/>
                <w:szCs w:val="21"/>
              </w:rPr>
              <w:t>（</w:t>
            </w:r>
            <w:r>
              <w:rPr>
                <w:szCs w:val="21"/>
              </w:rPr>
              <w:t>2</w:t>
            </w:r>
            <w:r>
              <w:rPr>
                <w:rFonts w:hint="eastAsia"/>
                <w:szCs w:val="21"/>
              </w:rPr>
              <w:t>）</w:t>
            </w:r>
          </w:p>
        </w:tc>
        <w:tc>
          <w:tcPr>
            <w:tcW w:w="1901" w:type="pct"/>
            <w:vAlign w:val="center"/>
          </w:tcPr>
          <w:p w14:paraId="0100971C">
            <w:pPr>
              <w:spacing w:line="240" w:lineRule="auto"/>
              <w:rPr>
                <w:szCs w:val="21"/>
              </w:rPr>
            </w:pPr>
            <w:r>
              <w:rPr>
                <w:szCs w:val="21"/>
              </w:rPr>
              <w:t>________</w:t>
            </w:r>
            <w:r>
              <w:rPr>
                <w:rFonts w:hint="eastAsia"/>
                <w:szCs w:val="21"/>
              </w:rPr>
              <w:t>等主要材料、设备单据所列费用的</w:t>
            </w:r>
            <w:r>
              <w:rPr>
                <w:szCs w:val="21"/>
                <w:u w:val="single"/>
              </w:rPr>
              <w:t xml:space="preserve">    </w:t>
            </w:r>
            <w:r>
              <w:rPr>
                <w:szCs w:val="21"/>
              </w:rPr>
              <w:t>%</w:t>
            </w:r>
          </w:p>
        </w:tc>
        <w:tc>
          <w:tcPr>
            <w:tcW w:w="475" w:type="pct"/>
            <w:vAlign w:val="center"/>
          </w:tcPr>
          <w:p w14:paraId="45ADAFDE">
            <w:pPr>
              <w:spacing w:line="240" w:lineRule="auto"/>
              <w:rPr>
                <w:szCs w:val="21"/>
              </w:rPr>
            </w:pPr>
          </w:p>
        </w:tc>
      </w:tr>
      <w:tr w14:paraId="091EF2A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15EF59D5">
            <w:pPr>
              <w:spacing w:line="240" w:lineRule="auto"/>
              <w:rPr>
                <w:szCs w:val="21"/>
              </w:rPr>
            </w:pPr>
            <w:r>
              <w:rPr>
                <w:szCs w:val="21"/>
              </w:rPr>
              <w:t>9</w:t>
            </w:r>
          </w:p>
        </w:tc>
        <w:tc>
          <w:tcPr>
            <w:tcW w:w="1361" w:type="pct"/>
            <w:vAlign w:val="center"/>
          </w:tcPr>
          <w:p w14:paraId="77F5DBF0">
            <w:pPr>
              <w:spacing w:line="240" w:lineRule="auto"/>
              <w:rPr>
                <w:szCs w:val="21"/>
              </w:rPr>
            </w:pPr>
            <w:r>
              <w:rPr>
                <w:rFonts w:hint="eastAsia"/>
                <w:szCs w:val="21"/>
              </w:rPr>
              <w:t>进度付款证书最低限额</w:t>
            </w:r>
          </w:p>
        </w:tc>
        <w:tc>
          <w:tcPr>
            <w:tcW w:w="884" w:type="pct"/>
            <w:vAlign w:val="center"/>
          </w:tcPr>
          <w:p w14:paraId="4B9A79DD">
            <w:pPr>
              <w:spacing w:line="240" w:lineRule="auto"/>
              <w:rPr>
                <w:szCs w:val="21"/>
              </w:rPr>
            </w:pPr>
            <w:r>
              <w:rPr>
                <w:szCs w:val="21"/>
              </w:rPr>
              <w:t>17.3.3</w:t>
            </w:r>
            <w:r>
              <w:rPr>
                <w:rFonts w:hint="eastAsia"/>
                <w:szCs w:val="21"/>
              </w:rPr>
              <w:t>（</w:t>
            </w:r>
            <w:r>
              <w:rPr>
                <w:szCs w:val="21"/>
              </w:rPr>
              <w:t>1</w:t>
            </w:r>
            <w:r>
              <w:rPr>
                <w:rFonts w:hint="eastAsia"/>
                <w:szCs w:val="21"/>
              </w:rPr>
              <w:t>）</w:t>
            </w:r>
          </w:p>
        </w:tc>
        <w:tc>
          <w:tcPr>
            <w:tcW w:w="1901" w:type="pct"/>
            <w:vAlign w:val="center"/>
          </w:tcPr>
          <w:p w14:paraId="7BD78CA1">
            <w:pPr>
              <w:spacing w:line="240" w:lineRule="auto"/>
              <w:rPr>
                <w:szCs w:val="21"/>
              </w:rPr>
            </w:pPr>
            <w:r>
              <w:rPr>
                <w:szCs w:val="21"/>
              </w:rPr>
              <w:t>____%</w:t>
            </w:r>
            <w:r>
              <w:rPr>
                <w:rFonts w:hint="eastAsia"/>
                <w:szCs w:val="21"/>
              </w:rPr>
              <w:t>签约合同价或</w:t>
            </w:r>
            <w:r>
              <w:rPr>
                <w:szCs w:val="21"/>
                <w:u w:val="single"/>
              </w:rPr>
              <w:t xml:space="preserve">    </w:t>
            </w:r>
            <w:r>
              <w:rPr>
                <w:rFonts w:hint="eastAsia"/>
                <w:szCs w:val="21"/>
              </w:rPr>
              <w:t>万元</w:t>
            </w:r>
          </w:p>
        </w:tc>
        <w:tc>
          <w:tcPr>
            <w:tcW w:w="475" w:type="pct"/>
            <w:vAlign w:val="center"/>
          </w:tcPr>
          <w:p w14:paraId="471900B9">
            <w:pPr>
              <w:spacing w:line="240" w:lineRule="auto"/>
              <w:rPr>
                <w:szCs w:val="21"/>
              </w:rPr>
            </w:pPr>
          </w:p>
        </w:tc>
      </w:tr>
      <w:tr w14:paraId="49462F2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64B4D2B0">
            <w:pPr>
              <w:spacing w:line="240" w:lineRule="auto"/>
              <w:rPr>
                <w:szCs w:val="21"/>
              </w:rPr>
            </w:pPr>
            <w:r>
              <w:rPr>
                <w:szCs w:val="21"/>
              </w:rPr>
              <w:t>10</w:t>
            </w:r>
          </w:p>
        </w:tc>
        <w:tc>
          <w:tcPr>
            <w:tcW w:w="1361" w:type="pct"/>
            <w:vAlign w:val="center"/>
          </w:tcPr>
          <w:p w14:paraId="1426F25B">
            <w:pPr>
              <w:spacing w:line="240" w:lineRule="auto"/>
              <w:rPr>
                <w:szCs w:val="21"/>
              </w:rPr>
            </w:pPr>
            <w:r>
              <w:rPr>
                <w:rFonts w:hint="eastAsia"/>
                <w:szCs w:val="21"/>
              </w:rPr>
              <w:t>逾期付款违约金的利率</w:t>
            </w:r>
          </w:p>
        </w:tc>
        <w:tc>
          <w:tcPr>
            <w:tcW w:w="884" w:type="pct"/>
            <w:vAlign w:val="center"/>
          </w:tcPr>
          <w:p w14:paraId="0C9B64F4">
            <w:pPr>
              <w:spacing w:line="240" w:lineRule="auto"/>
              <w:rPr>
                <w:szCs w:val="21"/>
              </w:rPr>
            </w:pPr>
            <w:r>
              <w:rPr>
                <w:szCs w:val="21"/>
              </w:rPr>
              <w:t>17.3.3</w:t>
            </w:r>
            <w:r>
              <w:rPr>
                <w:rFonts w:hint="eastAsia"/>
                <w:szCs w:val="21"/>
              </w:rPr>
              <w:t>（</w:t>
            </w:r>
            <w:r>
              <w:rPr>
                <w:szCs w:val="21"/>
              </w:rPr>
              <w:t>2</w:t>
            </w:r>
            <w:r>
              <w:rPr>
                <w:rFonts w:hint="eastAsia"/>
                <w:szCs w:val="21"/>
              </w:rPr>
              <w:t>）</w:t>
            </w:r>
          </w:p>
        </w:tc>
        <w:tc>
          <w:tcPr>
            <w:tcW w:w="1901" w:type="pct"/>
            <w:vAlign w:val="center"/>
          </w:tcPr>
          <w:p w14:paraId="260A40E6">
            <w:pPr>
              <w:spacing w:line="240" w:lineRule="auto"/>
              <w:rPr>
                <w:szCs w:val="21"/>
              </w:rPr>
            </w:pPr>
            <w:r>
              <w:rPr>
                <w:szCs w:val="21"/>
              </w:rPr>
              <w:t>____‰/</w:t>
            </w:r>
            <w:r>
              <w:rPr>
                <w:rFonts w:hint="eastAsia"/>
                <w:szCs w:val="21"/>
              </w:rPr>
              <w:t>天</w:t>
            </w:r>
          </w:p>
        </w:tc>
        <w:tc>
          <w:tcPr>
            <w:tcW w:w="475" w:type="pct"/>
            <w:vAlign w:val="center"/>
          </w:tcPr>
          <w:p w14:paraId="58581766">
            <w:pPr>
              <w:spacing w:line="240" w:lineRule="auto"/>
              <w:rPr>
                <w:szCs w:val="21"/>
              </w:rPr>
            </w:pPr>
          </w:p>
        </w:tc>
      </w:tr>
      <w:tr w14:paraId="5A0FA2F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7C798AAE">
            <w:pPr>
              <w:spacing w:line="240" w:lineRule="auto"/>
              <w:rPr>
                <w:szCs w:val="21"/>
              </w:rPr>
            </w:pPr>
            <w:r>
              <w:rPr>
                <w:szCs w:val="21"/>
              </w:rPr>
              <w:t>11</w:t>
            </w:r>
          </w:p>
        </w:tc>
        <w:tc>
          <w:tcPr>
            <w:tcW w:w="1361" w:type="pct"/>
            <w:vAlign w:val="center"/>
          </w:tcPr>
          <w:p w14:paraId="37E5D475">
            <w:pPr>
              <w:spacing w:line="240" w:lineRule="auto"/>
              <w:rPr>
                <w:szCs w:val="21"/>
              </w:rPr>
            </w:pPr>
            <w:r>
              <w:rPr>
                <w:rFonts w:hint="eastAsia"/>
                <w:szCs w:val="21"/>
              </w:rPr>
              <w:t>质量保证金金额</w:t>
            </w:r>
          </w:p>
        </w:tc>
        <w:tc>
          <w:tcPr>
            <w:tcW w:w="884" w:type="pct"/>
            <w:vAlign w:val="center"/>
          </w:tcPr>
          <w:p w14:paraId="3EF2A233">
            <w:pPr>
              <w:spacing w:line="240" w:lineRule="auto"/>
              <w:rPr>
                <w:szCs w:val="21"/>
              </w:rPr>
            </w:pPr>
            <w:r>
              <w:rPr>
                <w:szCs w:val="21"/>
              </w:rPr>
              <w:t>17.4.1</w:t>
            </w:r>
          </w:p>
        </w:tc>
        <w:tc>
          <w:tcPr>
            <w:tcW w:w="1901" w:type="pct"/>
            <w:vAlign w:val="center"/>
          </w:tcPr>
          <w:p w14:paraId="44C77F0A">
            <w:pPr>
              <w:spacing w:line="240" w:lineRule="auto"/>
              <w:rPr>
                <w:szCs w:val="21"/>
              </w:rPr>
            </w:pPr>
            <w:r>
              <w:rPr>
                <w:szCs w:val="21"/>
                <w:u w:val="single"/>
              </w:rPr>
              <w:t>1.5</w:t>
            </w:r>
            <w:r>
              <w:rPr>
                <w:szCs w:val="21"/>
              </w:rPr>
              <w:t>%</w:t>
            </w:r>
            <w:r>
              <w:rPr>
                <w:rFonts w:hint="eastAsia"/>
                <w:szCs w:val="21"/>
              </w:rPr>
              <w:t>合同价格</w:t>
            </w:r>
          </w:p>
        </w:tc>
        <w:tc>
          <w:tcPr>
            <w:tcW w:w="475" w:type="pct"/>
            <w:vAlign w:val="center"/>
          </w:tcPr>
          <w:p w14:paraId="3D8C99C1">
            <w:pPr>
              <w:spacing w:line="240" w:lineRule="auto"/>
              <w:rPr>
                <w:szCs w:val="21"/>
              </w:rPr>
            </w:pPr>
          </w:p>
        </w:tc>
      </w:tr>
      <w:tr w14:paraId="54B523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9" w:type="pct"/>
            <w:vAlign w:val="center"/>
          </w:tcPr>
          <w:p w14:paraId="4F7BC15C">
            <w:pPr>
              <w:spacing w:line="240" w:lineRule="auto"/>
              <w:rPr>
                <w:szCs w:val="21"/>
              </w:rPr>
            </w:pPr>
            <w:r>
              <w:rPr>
                <w:szCs w:val="21"/>
              </w:rPr>
              <w:t>12</w:t>
            </w:r>
          </w:p>
        </w:tc>
        <w:tc>
          <w:tcPr>
            <w:tcW w:w="1361" w:type="pct"/>
            <w:vAlign w:val="center"/>
          </w:tcPr>
          <w:p w14:paraId="311AE4EF">
            <w:pPr>
              <w:spacing w:line="240" w:lineRule="auto"/>
              <w:rPr>
                <w:szCs w:val="21"/>
              </w:rPr>
            </w:pPr>
            <w:r>
              <w:rPr>
                <w:rFonts w:hint="eastAsia"/>
                <w:szCs w:val="21"/>
              </w:rPr>
              <w:t>保修期</w:t>
            </w:r>
          </w:p>
        </w:tc>
        <w:tc>
          <w:tcPr>
            <w:tcW w:w="884" w:type="pct"/>
            <w:vAlign w:val="center"/>
          </w:tcPr>
          <w:p w14:paraId="1E97CA86">
            <w:pPr>
              <w:spacing w:line="240" w:lineRule="auto"/>
              <w:rPr>
                <w:szCs w:val="21"/>
              </w:rPr>
            </w:pPr>
            <w:r>
              <w:rPr>
                <w:szCs w:val="21"/>
              </w:rPr>
              <w:t>19.7</w:t>
            </w:r>
            <w:r>
              <w:rPr>
                <w:rFonts w:hint="eastAsia"/>
                <w:szCs w:val="21"/>
              </w:rPr>
              <w:t>（</w:t>
            </w:r>
            <w:r>
              <w:rPr>
                <w:szCs w:val="21"/>
              </w:rPr>
              <w:t>1</w:t>
            </w:r>
            <w:r>
              <w:rPr>
                <w:rFonts w:hint="eastAsia"/>
                <w:szCs w:val="21"/>
              </w:rPr>
              <w:t>）</w:t>
            </w:r>
          </w:p>
        </w:tc>
        <w:tc>
          <w:tcPr>
            <w:tcW w:w="1901" w:type="pct"/>
            <w:vAlign w:val="center"/>
          </w:tcPr>
          <w:p w14:paraId="46AC52E2">
            <w:pPr>
              <w:spacing w:line="240" w:lineRule="auto"/>
              <w:rPr>
                <w:szCs w:val="21"/>
              </w:rPr>
            </w:pPr>
            <w:r>
              <w:rPr>
                <w:rFonts w:hint="eastAsia"/>
                <w:szCs w:val="21"/>
              </w:rPr>
              <w:t>自实际交工日期起计算</w:t>
            </w:r>
            <w:r>
              <w:rPr>
                <w:szCs w:val="21"/>
              </w:rPr>
              <w:t>____</w:t>
            </w:r>
            <w:r>
              <w:rPr>
                <w:rFonts w:hint="eastAsia"/>
                <w:szCs w:val="21"/>
              </w:rPr>
              <w:t>年</w:t>
            </w:r>
          </w:p>
        </w:tc>
        <w:tc>
          <w:tcPr>
            <w:tcW w:w="475" w:type="pct"/>
            <w:vAlign w:val="center"/>
          </w:tcPr>
          <w:p w14:paraId="198F7094">
            <w:pPr>
              <w:spacing w:line="240" w:lineRule="auto"/>
              <w:rPr>
                <w:szCs w:val="21"/>
              </w:rPr>
            </w:pPr>
          </w:p>
        </w:tc>
      </w:tr>
    </w:tbl>
    <w:p w14:paraId="1F7F7907">
      <w:pPr>
        <w:spacing w:line="360" w:lineRule="auto"/>
        <w:ind w:left="840" w:leftChars="400" w:firstLine="2200" w:firstLineChars="1100"/>
        <w:rPr>
          <w:rFonts w:eastAsia="黑体"/>
          <w:sz w:val="20"/>
          <w:szCs w:val="20"/>
        </w:rPr>
      </w:pPr>
    </w:p>
    <w:p w14:paraId="4CE2DF8F">
      <w:pPr>
        <w:spacing w:line="360" w:lineRule="auto"/>
        <w:ind w:left="3599" w:leftChars="1714"/>
        <w:rPr>
          <w:szCs w:val="21"/>
        </w:rPr>
      </w:pPr>
      <w:r>
        <w:rPr>
          <w:rFonts w:hint="eastAsia"/>
          <w:szCs w:val="21"/>
          <w:lang w:eastAsia="zh-CN"/>
        </w:rPr>
        <w:t>竞包人</w:t>
      </w:r>
      <w:r>
        <w:rPr>
          <w:rFonts w:hint="eastAsia"/>
          <w:szCs w:val="21"/>
        </w:rPr>
        <w:t>：</w:t>
      </w:r>
      <w:r>
        <w:rPr>
          <w:szCs w:val="21"/>
          <w:u w:val="single"/>
        </w:rPr>
        <w:t xml:space="preserve">                         </w:t>
      </w:r>
      <w:r>
        <w:rPr>
          <w:rFonts w:hint="eastAsia"/>
          <w:szCs w:val="21"/>
        </w:rPr>
        <w:t>（盖单位电子印章）</w:t>
      </w:r>
    </w:p>
    <w:p w14:paraId="188F7948">
      <w:pPr>
        <w:spacing w:line="360" w:lineRule="auto"/>
        <w:ind w:left="3599" w:leftChars="1714"/>
        <w:rPr>
          <w:szCs w:val="21"/>
        </w:rPr>
      </w:pPr>
      <w:r>
        <w:rPr>
          <w:rFonts w:hint="eastAsia"/>
          <w:szCs w:val="21"/>
        </w:rPr>
        <w:t>法定代表人：</w:t>
      </w:r>
      <w:r>
        <w:rPr>
          <w:szCs w:val="21"/>
          <w:u w:val="single"/>
        </w:rPr>
        <w:t xml:space="preserve">                </w:t>
      </w:r>
      <w:r>
        <w:rPr>
          <w:rFonts w:hint="eastAsia"/>
          <w:szCs w:val="21"/>
        </w:rPr>
        <w:t>（盖法定代表人电子章）</w:t>
      </w:r>
    </w:p>
    <w:p w14:paraId="6E57A5D8">
      <w:pPr>
        <w:spacing w:line="360" w:lineRule="auto"/>
        <w:ind w:left="840" w:leftChars="400" w:firstLine="2200" w:firstLineChars="1100"/>
        <w:rPr>
          <w:rFonts w:eastAsia="黑体"/>
          <w:sz w:val="20"/>
          <w:szCs w:val="20"/>
        </w:rPr>
      </w:pPr>
      <w:r>
        <w:rPr>
          <w:rFonts w:eastAsia="黑体"/>
          <w:sz w:val="20"/>
          <w:szCs w:val="20"/>
        </w:rPr>
        <w:br w:type="page"/>
      </w:r>
    </w:p>
    <w:p w14:paraId="5D9D2CEF">
      <w:pPr>
        <w:pStyle w:val="97"/>
        <w:jc w:val="center"/>
        <w:rPr>
          <w:sz w:val="36"/>
          <w:szCs w:val="36"/>
        </w:rPr>
      </w:pPr>
      <w:bookmarkStart w:id="461" w:name="_Toc154675204"/>
      <w:bookmarkStart w:id="462" w:name="_Toc11537"/>
      <w:bookmarkStart w:id="463" w:name="_Toc25998"/>
      <w:r>
        <w:rPr>
          <w:rFonts w:hint="eastAsia"/>
          <w:sz w:val="36"/>
          <w:szCs w:val="36"/>
        </w:rPr>
        <w:t>二、授权委托书或法定代表人身份证明</w:t>
      </w:r>
      <w:bookmarkEnd w:id="461"/>
      <w:bookmarkEnd w:id="462"/>
      <w:bookmarkEnd w:id="463"/>
    </w:p>
    <w:p w14:paraId="799288DC">
      <w:pPr>
        <w:widowControl/>
        <w:spacing w:line="360" w:lineRule="auto"/>
        <w:jc w:val="left"/>
        <w:rPr>
          <w:rFonts w:eastAsia="黑体"/>
          <w:sz w:val="20"/>
          <w:szCs w:val="20"/>
        </w:rPr>
      </w:pPr>
    </w:p>
    <w:p w14:paraId="2EC990D4">
      <w:pPr>
        <w:pStyle w:val="108"/>
        <w:spacing w:line="360" w:lineRule="auto"/>
        <w:rPr>
          <w:rFonts w:eastAsia="黑体"/>
          <w:sz w:val="20"/>
          <w:szCs w:val="20"/>
        </w:rPr>
      </w:pPr>
    </w:p>
    <w:p w14:paraId="0B426AA5">
      <w:pPr>
        <w:pStyle w:val="96"/>
        <w:jc w:val="center"/>
        <w:rPr>
          <w:sz w:val="30"/>
          <w:szCs w:val="30"/>
          <w:vertAlign w:val="superscript"/>
        </w:rPr>
      </w:pPr>
      <w:bookmarkStart w:id="464" w:name="_Toc24005"/>
      <w:bookmarkStart w:id="465" w:name="_Toc154675205"/>
      <w:r>
        <w:rPr>
          <w:rFonts w:hint="eastAsia"/>
          <w:sz w:val="30"/>
          <w:szCs w:val="30"/>
        </w:rPr>
        <w:t>（一）授权委托书</w:t>
      </w:r>
      <w:r>
        <w:rPr>
          <w:sz w:val="30"/>
          <w:szCs w:val="30"/>
          <w:vertAlign w:val="superscript"/>
        </w:rPr>
        <w:footnoteReference w:id="35"/>
      </w:r>
      <w:bookmarkEnd w:id="464"/>
      <w:bookmarkEnd w:id="465"/>
    </w:p>
    <w:p w14:paraId="2C6F5196">
      <w:pPr>
        <w:spacing w:line="360" w:lineRule="auto"/>
        <w:rPr>
          <w:rFonts w:eastAsia="黑体"/>
          <w:szCs w:val="21"/>
        </w:rPr>
      </w:pPr>
    </w:p>
    <w:p w14:paraId="78C20599">
      <w:pPr>
        <w:topLinePunct/>
        <w:spacing w:line="360" w:lineRule="auto"/>
        <w:ind w:firstLine="420" w:firstLineChars="20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w:t>
      </w:r>
      <w:r>
        <w:rPr>
          <w:rFonts w:hint="eastAsia"/>
          <w:szCs w:val="21"/>
          <w:lang w:eastAsia="zh-CN"/>
        </w:rPr>
        <w:t>竞包人</w:t>
      </w:r>
      <w:r>
        <w:rPr>
          <w:rFonts w:hint="eastAsia"/>
          <w:szCs w:val="21"/>
        </w:rPr>
        <w:t>名称）的法定代表人，现委托</w:t>
      </w:r>
      <w:r>
        <w:rPr>
          <w:szCs w:val="21"/>
          <w:u w:val="single"/>
        </w:rPr>
        <w:t xml:space="preserve">        </w:t>
      </w:r>
      <w:r>
        <w:rPr>
          <w:rFonts w:hint="eastAsia"/>
          <w:szCs w:val="21"/>
        </w:rPr>
        <w:t>（姓名）为我方代理人。代理人根据授权，以我方名义签署、澄清确认、递交、撤回、修改</w:t>
      </w:r>
      <w:r>
        <w:rPr>
          <w:szCs w:val="21"/>
          <w:u w:val="single"/>
        </w:rPr>
        <w:t xml:space="preserve">           </w:t>
      </w:r>
      <w:r>
        <w:rPr>
          <w:rFonts w:hint="eastAsia"/>
          <w:szCs w:val="21"/>
        </w:rPr>
        <w:t>（项目名称）施工</w:t>
      </w:r>
      <w:r>
        <w:rPr>
          <w:rFonts w:hint="eastAsia"/>
          <w:szCs w:val="21"/>
          <w:lang w:eastAsia="zh-CN"/>
        </w:rPr>
        <w:t>竞包</w:t>
      </w:r>
      <w:r>
        <w:rPr>
          <w:rFonts w:hint="eastAsia"/>
          <w:szCs w:val="21"/>
        </w:rPr>
        <w:t>文件、签订合同和处理有关事宜，其法律后果由我方承担。</w:t>
      </w:r>
    </w:p>
    <w:p w14:paraId="1FE0E7EB">
      <w:pPr>
        <w:spacing w:line="360" w:lineRule="auto"/>
        <w:rPr>
          <w:szCs w:val="21"/>
        </w:rPr>
      </w:pPr>
      <w:r>
        <w:rPr>
          <w:szCs w:val="21"/>
        </w:rPr>
        <w:t xml:space="preserve">    </w:t>
      </w:r>
      <w:r>
        <w:rPr>
          <w:rFonts w:hint="eastAsia"/>
          <w:szCs w:val="21"/>
        </w:rPr>
        <w:t>委托期限：自本委托书签署之日起至</w:t>
      </w:r>
      <w:r>
        <w:rPr>
          <w:rFonts w:hint="eastAsia"/>
          <w:szCs w:val="21"/>
          <w:lang w:eastAsia="zh-CN"/>
        </w:rPr>
        <w:t>竞包</w:t>
      </w:r>
      <w:r>
        <w:rPr>
          <w:rFonts w:hint="eastAsia"/>
          <w:szCs w:val="21"/>
        </w:rPr>
        <w:t>有效期期满。</w:t>
      </w:r>
    </w:p>
    <w:p w14:paraId="31C717CA">
      <w:pPr>
        <w:spacing w:line="360" w:lineRule="auto"/>
        <w:ind w:firstLine="420" w:firstLineChars="200"/>
        <w:rPr>
          <w:szCs w:val="21"/>
        </w:rPr>
      </w:pPr>
      <w:r>
        <w:rPr>
          <w:rFonts w:hint="eastAsia"/>
          <w:szCs w:val="21"/>
        </w:rPr>
        <w:t>代理人无转委托权。</w:t>
      </w:r>
    </w:p>
    <w:p w14:paraId="7AA182F4">
      <w:pPr>
        <w:spacing w:line="360" w:lineRule="auto"/>
        <w:ind w:firstLine="420" w:firstLineChars="200"/>
        <w:rPr>
          <w:szCs w:val="21"/>
        </w:rPr>
      </w:pPr>
    </w:p>
    <w:p w14:paraId="2CECC148">
      <w:pPr>
        <w:spacing w:line="360" w:lineRule="auto"/>
        <w:ind w:firstLine="420" w:firstLineChars="200"/>
        <w:rPr>
          <w:szCs w:val="21"/>
        </w:rPr>
      </w:pPr>
      <w:r>
        <w:rPr>
          <w:rFonts w:hint="eastAsia"/>
          <w:szCs w:val="21"/>
        </w:rPr>
        <w:t>附：法定代表人身份证扫描件及委托代理人身份证扫描件（正反双面）。</w:t>
      </w:r>
    </w:p>
    <w:p w14:paraId="0240A5A7">
      <w:pPr>
        <w:spacing w:line="360" w:lineRule="auto"/>
        <w:rPr>
          <w:szCs w:val="21"/>
        </w:rPr>
      </w:pPr>
    </w:p>
    <w:p w14:paraId="7100EC7D">
      <w:pPr>
        <w:spacing w:line="360" w:lineRule="auto"/>
        <w:rPr>
          <w:szCs w:val="21"/>
        </w:rPr>
      </w:pPr>
    </w:p>
    <w:p w14:paraId="7D6136E2">
      <w:pPr>
        <w:spacing w:line="360" w:lineRule="auto"/>
        <w:ind w:left="3599" w:leftChars="1714"/>
        <w:rPr>
          <w:szCs w:val="21"/>
        </w:rPr>
      </w:pPr>
      <w:r>
        <w:rPr>
          <w:rFonts w:hint="eastAsia"/>
          <w:szCs w:val="21"/>
          <w:lang w:eastAsia="zh-CN"/>
        </w:rPr>
        <w:t>竞包人</w:t>
      </w:r>
      <w:r>
        <w:rPr>
          <w:rFonts w:hint="eastAsia"/>
          <w:szCs w:val="21"/>
        </w:rPr>
        <w:t>：</w:t>
      </w:r>
      <w:r>
        <w:rPr>
          <w:szCs w:val="21"/>
          <w:u w:val="single"/>
        </w:rPr>
        <w:t xml:space="preserve">                        </w:t>
      </w:r>
      <w:r>
        <w:rPr>
          <w:rFonts w:hint="eastAsia"/>
          <w:szCs w:val="21"/>
        </w:rPr>
        <w:t>（盖单位电子印章）</w:t>
      </w:r>
    </w:p>
    <w:p w14:paraId="62FD85BA">
      <w:pPr>
        <w:spacing w:line="360" w:lineRule="auto"/>
        <w:ind w:left="3599" w:leftChars="1714"/>
        <w:rPr>
          <w:szCs w:val="21"/>
        </w:rPr>
      </w:pPr>
      <w:r>
        <w:rPr>
          <w:rFonts w:hint="eastAsia"/>
          <w:szCs w:val="21"/>
        </w:rPr>
        <w:t>法定代表人：</w:t>
      </w:r>
      <w:r>
        <w:rPr>
          <w:szCs w:val="21"/>
          <w:u w:val="single"/>
        </w:rPr>
        <w:t xml:space="preserve">                 </w:t>
      </w:r>
      <w:r>
        <w:rPr>
          <w:rFonts w:hint="eastAsia"/>
          <w:szCs w:val="21"/>
        </w:rPr>
        <w:t>（盖法定代表人电子章）</w:t>
      </w:r>
    </w:p>
    <w:p w14:paraId="1D8908F0">
      <w:pPr>
        <w:spacing w:line="360" w:lineRule="auto"/>
        <w:ind w:left="3599" w:leftChars="1714"/>
        <w:rPr>
          <w:szCs w:val="21"/>
        </w:rPr>
      </w:pPr>
      <w:r>
        <w:rPr>
          <w:rFonts w:hint="eastAsia"/>
          <w:szCs w:val="21"/>
        </w:rPr>
        <w:t>身份证号码：</w:t>
      </w:r>
      <w:r>
        <w:rPr>
          <w:szCs w:val="21"/>
          <w:u w:val="single"/>
        </w:rPr>
        <w:t xml:space="preserve">                                     </w:t>
      </w:r>
    </w:p>
    <w:p w14:paraId="52B67667">
      <w:pPr>
        <w:spacing w:line="360" w:lineRule="auto"/>
        <w:ind w:left="3599" w:leftChars="1714"/>
        <w:rPr>
          <w:szCs w:val="21"/>
        </w:rPr>
      </w:pPr>
    </w:p>
    <w:p w14:paraId="480BC998">
      <w:pPr>
        <w:spacing w:line="360" w:lineRule="auto"/>
        <w:ind w:left="3599" w:leftChars="1714" w:firstLine="2310" w:firstLineChars="11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0EFF1F20">
      <w:pPr>
        <w:pStyle w:val="108"/>
        <w:spacing w:line="360" w:lineRule="auto"/>
        <w:ind w:firstLine="210"/>
        <w:rPr>
          <w:szCs w:val="21"/>
        </w:rPr>
      </w:pPr>
    </w:p>
    <w:tbl>
      <w:tblPr>
        <w:tblStyle w:val="44"/>
        <w:tblW w:w="0" w:type="auto"/>
        <w:tblInd w:w="1908" w:type="dxa"/>
        <w:tblLayout w:type="fixed"/>
        <w:tblCellMar>
          <w:top w:w="0" w:type="dxa"/>
          <w:left w:w="108" w:type="dxa"/>
          <w:bottom w:w="0" w:type="dxa"/>
          <w:right w:w="108" w:type="dxa"/>
        </w:tblCellMar>
      </w:tblPr>
      <w:tblGrid>
        <w:gridCol w:w="5886"/>
      </w:tblGrid>
      <w:tr w14:paraId="53F90457">
        <w:tblPrEx>
          <w:tblCellMar>
            <w:top w:w="0" w:type="dxa"/>
            <w:left w:w="108" w:type="dxa"/>
            <w:bottom w:w="0" w:type="dxa"/>
            <w:right w:w="108" w:type="dxa"/>
          </w:tblCellMar>
        </w:tblPrEx>
        <w:trPr>
          <w:trHeight w:val="2686" w:hRule="atLeast"/>
        </w:trPr>
        <w:tc>
          <w:tcPr>
            <w:tcW w:w="5886" w:type="dxa"/>
            <w:tcBorders>
              <w:top w:val="single" w:color="auto" w:sz="4" w:space="0"/>
              <w:left w:val="single" w:color="auto" w:sz="4" w:space="0"/>
              <w:bottom w:val="single" w:color="auto" w:sz="4" w:space="0"/>
              <w:right w:val="single" w:color="auto" w:sz="4" w:space="0"/>
            </w:tcBorders>
          </w:tcPr>
          <w:p w14:paraId="0E916DAF">
            <w:pPr>
              <w:pStyle w:val="108"/>
              <w:adjustRightInd w:val="0"/>
              <w:snapToGrid w:val="0"/>
              <w:spacing w:line="360" w:lineRule="auto"/>
              <w:ind w:left="5250" w:firstLine="420" w:firstLineChars="200"/>
              <w:rPr>
                <w:szCs w:val="21"/>
              </w:rPr>
            </w:pPr>
            <w:r>
              <w:rPr>
                <w:szCs w:val="21"/>
              </w:rPr>
              <w:t xml:space="preserve">            </w:t>
            </w:r>
          </w:p>
          <w:p w14:paraId="6DD33DEE">
            <w:pPr>
              <w:pStyle w:val="108"/>
              <w:adjustRightInd w:val="0"/>
              <w:snapToGrid w:val="0"/>
              <w:spacing w:line="360" w:lineRule="auto"/>
              <w:ind w:firstLine="210"/>
              <w:jc w:val="center"/>
              <w:rPr>
                <w:szCs w:val="21"/>
              </w:rPr>
            </w:pPr>
          </w:p>
          <w:p w14:paraId="5959405A">
            <w:pPr>
              <w:pStyle w:val="108"/>
              <w:adjustRightInd w:val="0"/>
              <w:snapToGrid w:val="0"/>
              <w:spacing w:line="360" w:lineRule="auto"/>
              <w:ind w:firstLine="210"/>
              <w:jc w:val="center"/>
              <w:rPr>
                <w:szCs w:val="21"/>
              </w:rPr>
            </w:pPr>
            <w:r>
              <w:rPr>
                <w:rFonts w:hint="eastAsia"/>
                <w:szCs w:val="21"/>
              </w:rPr>
              <w:t>法定代表人身份证扫描件及委托代理人身份证扫描件</w:t>
            </w:r>
          </w:p>
          <w:p w14:paraId="7A68138A">
            <w:pPr>
              <w:pStyle w:val="108"/>
              <w:adjustRightInd w:val="0"/>
              <w:snapToGrid w:val="0"/>
              <w:spacing w:line="360" w:lineRule="auto"/>
              <w:ind w:left="5250" w:firstLine="420" w:firstLineChars="200"/>
              <w:rPr>
                <w:szCs w:val="21"/>
              </w:rPr>
            </w:pPr>
          </w:p>
          <w:p w14:paraId="0C53A4FD">
            <w:pPr>
              <w:pStyle w:val="108"/>
              <w:adjustRightInd w:val="0"/>
              <w:snapToGrid w:val="0"/>
              <w:spacing w:line="360" w:lineRule="auto"/>
              <w:ind w:left="5250" w:firstLine="420" w:firstLineChars="200"/>
              <w:rPr>
                <w:szCs w:val="21"/>
              </w:rPr>
            </w:pPr>
          </w:p>
        </w:tc>
      </w:tr>
    </w:tbl>
    <w:p w14:paraId="77A05A28">
      <w:pPr>
        <w:spacing w:line="360" w:lineRule="auto"/>
        <w:ind w:firstLine="420" w:firstLineChars="200"/>
        <w:rPr>
          <w:szCs w:val="21"/>
        </w:rPr>
      </w:pPr>
    </w:p>
    <w:p w14:paraId="7241FA1D">
      <w:pPr>
        <w:spacing w:line="360" w:lineRule="auto"/>
        <w:ind w:firstLine="420" w:firstLineChars="200"/>
        <w:rPr>
          <w:szCs w:val="21"/>
        </w:rPr>
      </w:pPr>
    </w:p>
    <w:p w14:paraId="15FF3F6E">
      <w:pPr>
        <w:spacing w:line="360" w:lineRule="auto"/>
        <w:ind w:firstLine="420" w:firstLineChars="200"/>
        <w:rPr>
          <w:szCs w:val="21"/>
        </w:rPr>
      </w:pPr>
      <w:r>
        <w:rPr>
          <w:rFonts w:hint="eastAsia"/>
          <w:szCs w:val="21"/>
        </w:rPr>
        <w:t>注：以联合体形式</w:t>
      </w:r>
      <w:r>
        <w:rPr>
          <w:rFonts w:hint="eastAsia"/>
          <w:szCs w:val="21"/>
          <w:lang w:eastAsia="zh-CN"/>
        </w:rPr>
        <w:t>竞包</w:t>
      </w:r>
      <w:r>
        <w:rPr>
          <w:rFonts w:hint="eastAsia"/>
          <w:szCs w:val="21"/>
        </w:rPr>
        <w:t>的，本授权委托书应由联合体牵头人的法定代表人按上述规定签署。</w:t>
      </w:r>
    </w:p>
    <w:p w14:paraId="2B881A00">
      <w:pPr>
        <w:spacing w:line="360" w:lineRule="auto"/>
        <w:rPr>
          <w:sz w:val="20"/>
          <w:szCs w:val="20"/>
        </w:rPr>
      </w:pPr>
      <w:r>
        <w:rPr>
          <w:szCs w:val="21"/>
        </w:rPr>
        <w:br w:type="page"/>
      </w:r>
    </w:p>
    <w:p w14:paraId="127B42BD">
      <w:pPr>
        <w:pStyle w:val="96"/>
        <w:jc w:val="center"/>
        <w:rPr>
          <w:sz w:val="30"/>
          <w:szCs w:val="30"/>
        </w:rPr>
      </w:pPr>
      <w:bookmarkStart w:id="466" w:name="_Toc12666"/>
      <w:bookmarkStart w:id="467" w:name="_Toc154675206"/>
      <w:r>
        <w:rPr>
          <w:rFonts w:hint="eastAsia"/>
          <w:sz w:val="30"/>
          <w:szCs w:val="30"/>
        </w:rPr>
        <w:t>（二）法定代表人身份证明</w:t>
      </w:r>
      <w:bookmarkEnd w:id="466"/>
      <w:bookmarkEnd w:id="467"/>
    </w:p>
    <w:p w14:paraId="7217159C">
      <w:pPr>
        <w:spacing w:line="360" w:lineRule="auto"/>
        <w:rPr>
          <w:szCs w:val="21"/>
        </w:rPr>
      </w:pPr>
    </w:p>
    <w:p w14:paraId="52D86FDD">
      <w:pPr>
        <w:spacing w:line="360" w:lineRule="auto"/>
        <w:rPr>
          <w:szCs w:val="21"/>
        </w:rPr>
      </w:pPr>
      <w:r>
        <w:rPr>
          <w:rFonts w:hint="eastAsia"/>
          <w:szCs w:val="21"/>
          <w:lang w:eastAsia="zh-CN"/>
        </w:rPr>
        <w:t>竞包人</w:t>
      </w:r>
      <w:r>
        <w:rPr>
          <w:rFonts w:hint="eastAsia"/>
          <w:szCs w:val="21"/>
        </w:rPr>
        <w:t>名称：</w:t>
      </w:r>
      <w:r>
        <w:rPr>
          <w:szCs w:val="21"/>
          <w:u w:val="single"/>
        </w:rPr>
        <w:t xml:space="preserve">                            </w:t>
      </w:r>
      <w:r>
        <w:rPr>
          <w:szCs w:val="21"/>
        </w:rPr>
        <w:t xml:space="preserve"> </w:t>
      </w:r>
    </w:p>
    <w:p w14:paraId="32547B94">
      <w:pPr>
        <w:spacing w:line="360" w:lineRule="auto"/>
        <w:rPr>
          <w:szCs w:val="21"/>
        </w:rPr>
      </w:pPr>
      <w:r>
        <w:rPr>
          <w:rFonts w:hint="eastAsia"/>
          <w:szCs w:val="21"/>
        </w:rPr>
        <w:t>姓名：</w:t>
      </w:r>
      <w:r>
        <w:rPr>
          <w:szCs w:val="21"/>
          <w:u w:val="single"/>
        </w:rPr>
        <w:t xml:space="preserve">          </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r>
        <w:rPr>
          <w:rFonts w:hint="eastAsia"/>
          <w:szCs w:val="21"/>
        </w:rPr>
        <w:t>系</w:t>
      </w:r>
      <w:r>
        <w:rPr>
          <w:szCs w:val="21"/>
          <w:u w:val="single"/>
        </w:rPr>
        <w:t xml:space="preserve">  </w:t>
      </w:r>
      <w:r>
        <w:rPr>
          <w:rFonts w:hint="eastAsia"/>
          <w:szCs w:val="21"/>
          <w:u w:val="single"/>
        </w:rPr>
        <w:t>（</w:t>
      </w:r>
      <w:r>
        <w:rPr>
          <w:rFonts w:hint="eastAsia"/>
          <w:szCs w:val="21"/>
          <w:u w:val="single"/>
          <w:lang w:eastAsia="zh-CN"/>
        </w:rPr>
        <w:t>竞包人</w:t>
      </w:r>
      <w:r>
        <w:rPr>
          <w:rFonts w:hint="eastAsia"/>
          <w:szCs w:val="21"/>
          <w:u w:val="single"/>
        </w:rPr>
        <w:t>名称）</w:t>
      </w:r>
      <w:r>
        <w:rPr>
          <w:rFonts w:hint="eastAsia"/>
          <w:szCs w:val="21"/>
        </w:rPr>
        <w:t>的法定代表人。</w:t>
      </w:r>
    </w:p>
    <w:p w14:paraId="6FCD19F8">
      <w:pPr>
        <w:spacing w:line="360" w:lineRule="auto"/>
        <w:ind w:firstLine="420" w:firstLineChars="200"/>
        <w:rPr>
          <w:szCs w:val="21"/>
        </w:rPr>
      </w:pPr>
      <w:r>
        <w:rPr>
          <w:rFonts w:hint="eastAsia"/>
          <w:szCs w:val="21"/>
        </w:rPr>
        <w:t>特此证明。</w:t>
      </w:r>
    </w:p>
    <w:p w14:paraId="2424BD85">
      <w:pPr>
        <w:spacing w:line="360" w:lineRule="auto"/>
        <w:rPr>
          <w:szCs w:val="21"/>
        </w:rPr>
      </w:pPr>
    </w:p>
    <w:p w14:paraId="10BE338F">
      <w:pPr>
        <w:spacing w:line="360" w:lineRule="auto"/>
        <w:rPr>
          <w:szCs w:val="21"/>
        </w:rPr>
      </w:pPr>
      <w:r>
        <w:rPr>
          <w:rFonts w:hint="eastAsia"/>
          <w:szCs w:val="21"/>
        </w:rPr>
        <w:t>附：法定代表人身份证扫描件（正反双面）。</w:t>
      </w:r>
    </w:p>
    <w:p w14:paraId="2DCA0205">
      <w:pPr>
        <w:spacing w:line="360" w:lineRule="auto"/>
        <w:rPr>
          <w:szCs w:val="21"/>
        </w:rPr>
      </w:pPr>
    </w:p>
    <w:p w14:paraId="1E369735">
      <w:pPr>
        <w:pStyle w:val="108"/>
        <w:spacing w:line="360" w:lineRule="auto"/>
        <w:ind w:firstLine="210"/>
        <w:rPr>
          <w:szCs w:val="21"/>
        </w:rPr>
      </w:pPr>
      <w:r>
        <w:rPr>
          <w:szCs w:val="21"/>
        </w:rPr>
        <w:t xml:space="preserve">                          </w:t>
      </w:r>
      <w:r>
        <w:rPr>
          <w:rFonts w:hint="eastAsia"/>
          <w:szCs w:val="21"/>
          <w:lang w:eastAsia="zh-CN"/>
        </w:rPr>
        <w:t>竞包人</w:t>
      </w:r>
      <w:r>
        <w:rPr>
          <w:rFonts w:hint="eastAsia"/>
          <w:szCs w:val="21"/>
        </w:rPr>
        <w:t>：</w:t>
      </w:r>
      <w:r>
        <w:rPr>
          <w:szCs w:val="21"/>
          <w:u w:val="single"/>
        </w:rPr>
        <w:t xml:space="preserve">                 </w:t>
      </w:r>
      <w:r>
        <w:rPr>
          <w:rFonts w:hint="eastAsia"/>
          <w:szCs w:val="21"/>
        </w:rPr>
        <w:t>（盖单位电子印章）</w:t>
      </w:r>
    </w:p>
    <w:p w14:paraId="7238C004">
      <w:pPr>
        <w:pStyle w:val="108"/>
        <w:spacing w:line="360" w:lineRule="auto"/>
        <w:ind w:firstLine="2940" w:firstLineChars="1400"/>
        <w:rPr>
          <w:szCs w:val="21"/>
        </w:rPr>
      </w:pPr>
      <w:r>
        <w:rPr>
          <w:rFonts w:hint="eastAsia"/>
          <w:szCs w:val="21"/>
        </w:rPr>
        <w:t>法定代表人：</w:t>
      </w:r>
      <w:r>
        <w:rPr>
          <w:szCs w:val="21"/>
          <w:u w:val="single"/>
        </w:rPr>
        <w:t xml:space="preserve">                     </w:t>
      </w:r>
      <w:r>
        <w:rPr>
          <w:rFonts w:hint="eastAsia"/>
          <w:szCs w:val="21"/>
        </w:rPr>
        <w:t>（盖法定代表人电子章）</w:t>
      </w:r>
    </w:p>
    <w:p w14:paraId="168DA934">
      <w:pPr>
        <w:pStyle w:val="108"/>
        <w:spacing w:line="360" w:lineRule="auto"/>
        <w:ind w:firstLine="210"/>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14:paraId="76FCE2DC">
      <w:pPr>
        <w:pStyle w:val="108"/>
        <w:spacing w:line="360" w:lineRule="auto"/>
        <w:ind w:firstLine="210"/>
        <w:rPr>
          <w:szCs w:val="21"/>
        </w:rPr>
      </w:pPr>
    </w:p>
    <w:tbl>
      <w:tblPr>
        <w:tblStyle w:val="44"/>
        <w:tblW w:w="0" w:type="auto"/>
        <w:tblInd w:w="2088" w:type="dxa"/>
        <w:tblLayout w:type="fixed"/>
        <w:tblCellMar>
          <w:top w:w="0" w:type="dxa"/>
          <w:left w:w="108" w:type="dxa"/>
          <w:bottom w:w="0" w:type="dxa"/>
          <w:right w:w="108" w:type="dxa"/>
        </w:tblCellMar>
      </w:tblPr>
      <w:tblGrid>
        <w:gridCol w:w="5886"/>
      </w:tblGrid>
      <w:tr w14:paraId="252D0EE0">
        <w:tblPrEx>
          <w:tblCellMar>
            <w:top w:w="0" w:type="dxa"/>
            <w:left w:w="108" w:type="dxa"/>
            <w:bottom w:w="0" w:type="dxa"/>
            <w:right w:w="108" w:type="dxa"/>
          </w:tblCellMar>
        </w:tblPrEx>
        <w:tc>
          <w:tcPr>
            <w:tcW w:w="5886" w:type="dxa"/>
            <w:tcBorders>
              <w:top w:val="single" w:color="auto" w:sz="4" w:space="0"/>
              <w:left w:val="single" w:color="auto" w:sz="4" w:space="0"/>
              <w:bottom w:val="single" w:color="auto" w:sz="4" w:space="0"/>
              <w:right w:val="single" w:color="auto" w:sz="4" w:space="0"/>
            </w:tcBorders>
          </w:tcPr>
          <w:p w14:paraId="24611CF9">
            <w:pPr>
              <w:pStyle w:val="108"/>
              <w:adjustRightInd w:val="0"/>
              <w:snapToGrid w:val="0"/>
              <w:spacing w:line="360" w:lineRule="auto"/>
              <w:ind w:left="5250" w:firstLine="420" w:firstLineChars="200"/>
              <w:rPr>
                <w:szCs w:val="21"/>
              </w:rPr>
            </w:pPr>
            <w:r>
              <w:rPr>
                <w:szCs w:val="21"/>
              </w:rPr>
              <w:t xml:space="preserve">            </w:t>
            </w:r>
          </w:p>
          <w:p w14:paraId="088B33CD">
            <w:pPr>
              <w:pStyle w:val="108"/>
              <w:adjustRightInd w:val="0"/>
              <w:snapToGrid w:val="0"/>
              <w:spacing w:line="360" w:lineRule="auto"/>
              <w:ind w:firstLine="210"/>
              <w:jc w:val="center"/>
              <w:rPr>
                <w:szCs w:val="21"/>
              </w:rPr>
            </w:pPr>
            <w:r>
              <w:rPr>
                <w:rFonts w:hint="eastAsia"/>
                <w:szCs w:val="21"/>
              </w:rPr>
              <w:t>法定代表人身份证扫描件</w:t>
            </w:r>
          </w:p>
          <w:p w14:paraId="6F274493">
            <w:pPr>
              <w:pStyle w:val="108"/>
              <w:adjustRightInd w:val="0"/>
              <w:snapToGrid w:val="0"/>
              <w:spacing w:line="360" w:lineRule="auto"/>
              <w:ind w:left="5250" w:firstLine="420" w:firstLineChars="200"/>
              <w:rPr>
                <w:szCs w:val="21"/>
              </w:rPr>
            </w:pPr>
          </w:p>
          <w:p w14:paraId="58A3714C">
            <w:pPr>
              <w:pStyle w:val="108"/>
              <w:adjustRightInd w:val="0"/>
              <w:snapToGrid w:val="0"/>
              <w:spacing w:line="360" w:lineRule="auto"/>
              <w:ind w:left="5250" w:firstLine="420" w:firstLineChars="200"/>
              <w:rPr>
                <w:szCs w:val="21"/>
              </w:rPr>
            </w:pPr>
          </w:p>
          <w:p w14:paraId="46A92AA6">
            <w:pPr>
              <w:pStyle w:val="108"/>
              <w:adjustRightInd w:val="0"/>
              <w:snapToGrid w:val="0"/>
              <w:spacing w:line="360" w:lineRule="auto"/>
              <w:ind w:left="5250" w:firstLine="420" w:firstLineChars="200"/>
              <w:rPr>
                <w:szCs w:val="21"/>
              </w:rPr>
            </w:pPr>
          </w:p>
          <w:p w14:paraId="55827CDC">
            <w:pPr>
              <w:pStyle w:val="108"/>
              <w:adjustRightInd w:val="0"/>
              <w:snapToGrid w:val="0"/>
              <w:spacing w:line="360" w:lineRule="auto"/>
              <w:ind w:left="5250" w:firstLine="420" w:firstLineChars="200"/>
              <w:rPr>
                <w:szCs w:val="21"/>
              </w:rPr>
            </w:pPr>
          </w:p>
        </w:tc>
      </w:tr>
    </w:tbl>
    <w:p w14:paraId="142C83BC">
      <w:pPr>
        <w:pStyle w:val="108"/>
        <w:spacing w:line="360" w:lineRule="auto"/>
        <w:rPr>
          <w:rFonts w:eastAsia="黑体"/>
          <w:sz w:val="20"/>
          <w:szCs w:val="20"/>
        </w:rPr>
      </w:pPr>
    </w:p>
    <w:p w14:paraId="39E516DC">
      <w:pPr>
        <w:spacing w:line="360" w:lineRule="auto"/>
        <w:ind w:firstLine="420" w:firstLineChars="200"/>
        <w:rPr>
          <w:szCs w:val="21"/>
        </w:rPr>
      </w:pPr>
    </w:p>
    <w:p w14:paraId="4D71D8C9">
      <w:pPr>
        <w:spacing w:line="360" w:lineRule="auto"/>
      </w:pPr>
      <w:r>
        <w:br w:type="page"/>
      </w:r>
    </w:p>
    <w:p w14:paraId="4D044D6E">
      <w:pPr>
        <w:pStyle w:val="97"/>
        <w:jc w:val="center"/>
        <w:rPr>
          <w:sz w:val="36"/>
          <w:szCs w:val="36"/>
        </w:rPr>
      </w:pPr>
      <w:bookmarkStart w:id="468" w:name="_Toc20285"/>
      <w:bookmarkStart w:id="469" w:name="_Toc154675207"/>
      <w:bookmarkStart w:id="470" w:name="_Toc26068"/>
      <w:r>
        <w:rPr>
          <w:rFonts w:hint="eastAsia"/>
          <w:sz w:val="36"/>
          <w:szCs w:val="36"/>
        </w:rPr>
        <w:t>三、联合体协议书</w:t>
      </w:r>
      <w:bookmarkEnd w:id="468"/>
      <w:bookmarkEnd w:id="469"/>
      <w:bookmarkEnd w:id="470"/>
    </w:p>
    <w:p w14:paraId="77F3BF9E">
      <w:pPr>
        <w:topLinePunct/>
        <w:spacing w:line="360" w:lineRule="auto"/>
        <w:ind w:firstLine="420" w:firstLineChars="200"/>
        <w:jc w:val="center"/>
        <w:rPr>
          <w:szCs w:val="21"/>
        </w:rPr>
      </w:pPr>
      <w:r>
        <w:rPr>
          <w:rFonts w:hint="eastAsia"/>
          <w:szCs w:val="21"/>
        </w:rPr>
        <w:t>（如有）</w:t>
      </w:r>
    </w:p>
    <w:p w14:paraId="717BF29D">
      <w:pPr>
        <w:topLinePunct/>
        <w:spacing w:line="360" w:lineRule="auto"/>
        <w:ind w:firstLine="420" w:firstLineChars="200"/>
        <w:rPr>
          <w:szCs w:val="21"/>
          <w:u w:val="single"/>
        </w:rPr>
      </w:pPr>
    </w:p>
    <w:p w14:paraId="6E90CB2F">
      <w:pPr>
        <w:topLinePunct/>
        <w:spacing w:line="360" w:lineRule="auto"/>
        <w:ind w:firstLine="420" w:firstLineChars="200"/>
        <w:rPr>
          <w:szCs w:val="21"/>
        </w:rPr>
      </w:pPr>
      <w:r>
        <w:rPr>
          <w:szCs w:val="21"/>
          <w:u w:val="single"/>
        </w:rPr>
        <w:t xml:space="preserve">                </w:t>
      </w:r>
      <w:r>
        <w:rPr>
          <w:rFonts w:hint="eastAsia"/>
          <w:szCs w:val="21"/>
        </w:rPr>
        <w:t>（所有成员单位名称）自愿组成</w:t>
      </w:r>
      <w:r>
        <w:rPr>
          <w:szCs w:val="21"/>
        </w:rPr>
        <w:t>_________________</w:t>
      </w:r>
      <w:r>
        <w:rPr>
          <w:rFonts w:hint="eastAsia"/>
          <w:szCs w:val="21"/>
        </w:rPr>
        <w:t>（联合体名称），共同参加</w:t>
      </w:r>
      <w:r>
        <w:rPr>
          <w:szCs w:val="21"/>
          <w:u w:val="single"/>
        </w:rPr>
        <w:t xml:space="preserve">            </w:t>
      </w:r>
      <w:r>
        <w:rPr>
          <w:rFonts w:hint="eastAsia"/>
          <w:szCs w:val="21"/>
        </w:rPr>
        <w:t>（项目名称）</w:t>
      </w:r>
      <w:r>
        <w:rPr>
          <w:szCs w:val="21"/>
        </w:rPr>
        <w:t>_____</w:t>
      </w:r>
      <w:r>
        <w:rPr>
          <w:rFonts w:hint="eastAsia"/>
          <w:szCs w:val="21"/>
        </w:rPr>
        <w:t>标段施工</w:t>
      </w:r>
      <w:r>
        <w:rPr>
          <w:rFonts w:hint="eastAsia"/>
          <w:szCs w:val="21"/>
          <w:lang w:eastAsia="zh-CN"/>
        </w:rPr>
        <w:t>竞包</w:t>
      </w:r>
      <w:r>
        <w:rPr>
          <w:rFonts w:hint="eastAsia"/>
          <w:szCs w:val="21"/>
        </w:rPr>
        <w:t>。现就联合体</w:t>
      </w:r>
      <w:r>
        <w:rPr>
          <w:rFonts w:hint="eastAsia"/>
          <w:szCs w:val="21"/>
          <w:lang w:eastAsia="zh-CN"/>
        </w:rPr>
        <w:t>竞包</w:t>
      </w:r>
      <w:r>
        <w:rPr>
          <w:rFonts w:hint="eastAsia"/>
          <w:szCs w:val="21"/>
        </w:rPr>
        <w:t>事宜订立如下协议。</w:t>
      </w:r>
    </w:p>
    <w:p w14:paraId="7990B5F7">
      <w:pPr>
        <w:topLinePunct/>
        <w:spacing w:line="360" w:lineRule="auto"/>
        <w:ind w:firstLine="420" w:firstLineChars="200"/>
        <w:rPr>
          <w:szCs w:val="21"/>
        </w:rPr>
      </w:pPr>
      <w:r>
        <w:rPr>
          <w:szCs w:val="21"/>
        </w:rPr>
        <w:t>1</w:t>
      </w:r>
      <w:r>
        <w:rPr>
          <w:rFonts w:hint="eastAsia"/>
          <w:szCs w:val="21"/>
        </w:rPr>
        <w:t>、</w:t>
      </w:r>
      <w:r>
        <w:rPr>
          <w:szCs w:val="21"/>
          <w:u w:val="single"/>
        </w:rPr>
        <w:t xml:space="preserve">            </w:t>
      </w:r>
      <w:r>
        <w:rPr>
          <w:rFonts w:hint="eastAsia"/>
          <w:szCs w:val="21"/>
        </w:rPr>
        <w:t>（某成员单位名称）为</w:t>
      </w:r>
      <w:r>
        <w:rPr>
          <w:szCs w:val="21"/>
        </w:rPr>
        <w:t>_________________</w:t>
      </w:r>
      <w:r>
        <w:rPr>
          <w:rFonts w:hint="eastAsia"/>
          <w:szCs w:val="21"/>
        </w:rPr>
        <w:t>（联合体名称）牵头人。</w:t>
      </w:r>
    </w:p>
    <w:p w14:paraId="6CD84A80">
      <w:pPr>
        <w:topLinePunct/>
        <w:spacing w:line="360" w:lineRule="auto"/>
        <w:ind w:firstLine="420" w:firstLineChars="200"/>
        <w:rPr>
          <w:szCs w:val="21"/>
        </w:rPr>
      </w:pPr>
      <w:r>
        <w:rPr>
          <w:szCs w:val="21"/>
        </w:rPr>
        <w:t>2</w:t>
      </w:r>
      <w:r>
        <w:rPr>
          <w:rFonts w:hint="eastAsia"/>
          <w:szCs w:val="21"/>
        </w:rPr>
        <w:t>、联合体各成员授权牵头人代表联合体参加</w:t>
      </w:r>
      <w:r>
        <w:rPr>
          <w:rFonts w:hint="eastAsia"/>
          <w:szCs w:val="21"/>
          <w:lang w:eastAsia="zh-CN"/>
        </w:rPr>
        <w:t>竞包</w:t>
      </w:r>
      <w:r>
        <w:rPr>
          <w:rFonts w:hint="eastAsia"/>
          <w:szCs w:val="21"/>
        </w:rPr>
        <w:t>活动，签署文件，提交和接收相关的资料、信息及指示，进行合同谈判活动，负责合同实施阶段的组织和协调工作，以及处理与本</w:t>
      </w:r>
      <w:r>
        <w:rPr>
          <w:rFonts w:hint="eastAsia"/>
          <w:szCs w:val="21"/>
          <w:lang w:eastAsia="zh-CN"/>
        </w:rPr>
        <w:t>发包</w:t>
      </w:r>
      <w:r>
        <w:rPr>
          <w:rFonts w:hint="eastAsia"/>
          <w:szCs w:val="21"/>
        </w:rPr>
        <w:t>项目有关的一切事宜。</w:t>
      </w:r>
    </w:p>
    <w:p w14:paraId="58B716C2">
      <w:pPr>
        <w:topLinePunct/>
        <w:spacing w:line="360" w:lineRule="auto"/>
        <w:ind w:firstLine="420" w:firstLineChars="200"/>
        <w:rPr>
          <w:szCs w:val="21"/>
        </w:rPr>
      </w:pPr>
      <w:r>
        <w:rPr>
          <w:szCs w:val="21"/>
        </w:rPr>
        <w:t>3</w:t>
      </w:r>
      <w:r>
        <w:rPr>
          <w:rFonts w:hint="eastAsia"/>
          <w:szCs w:val="21"/>
        </w:rPr>
        <w:t>、联合体牵头人在本项目中签署的一切文件和处理的一切事宜，</w:t>
      </w:r>
      <w:r>
        <w:rPr>
          <w:rFonts w:hint="eastAsia"/>
        </w:rPr>
        <w:t>联合体各成员均予以承认。联合体各成员将严格按照</w:t>
      </w:r>
      <w:r>
        <w:rPr>
          <w:rFonts w:hint="eastAsia"/>
          <w:lang w:eastAsia="zh-CN"/>
        </w:rPr>
        <w:t>发包文件</w:t>
      </w:r>
      <w:r>
        <w:rPr>
          <w:rFonts w:hint="eastAsia"/>
        </w:rPr>
        <w:t>、</w:t>
      </w:r>
      <w:r>
        <w:rPr>
          <w:rFonts w:hint="eastAsia"/>
          <w:lang w:eastAsia="zh-CN"/>
        </w:rPr>
        <w:t>竞包</w:t>
      </w:r>
      <w:r>
        <w:rPr>
          <w:rFonts w:hint="eastAsia"/>
        </w:rPr>
        <w:t>文件和合同的要求全面履行义务，并向</w:t>
      </w:r>
      <w:r>
        <w:rPr>
          <w:rFonts w:hint="eastAsia"/>
          <w:lang w:eastAsia="zh-CN"/>
        </w:rPr>
        <w:t>发包人</w:t>
      </w:r>
      <w:r>
        <w:rPr>
          <w:rFonts w:hint="eastAsia"/>
        </w:rPr>
        <w:t>承担连带责任</w:t>
      </w:r>
      <w:r>
        <w:rPr>
          <w:rFonts w:hint="eastAsia"/>
          <w:szCs w:val="21"/>
        </w:rPr>
        <w:t>。</w:t>
      </w:r>
    </w:p>
    <w:p w14:paraId="7D0CBD06">
      <w:pPr>
        <w:topLinePunct/>
        <w:spacing w:line="360" w:lineRule="auto"/>
        <w:ind w:firstLine="420" w:firstLineChars="200"/>
        <w:rPr>
          <w:szCs w:val="21"/>
        </w:rPr>
      </w:pPr>
      <w:r>
        <w:rPr>
          <w:szCs w:val="21"/>
        </w:rPr>
        <w:t>4</w:t>
      </w:r>
      <w:r>
        <w:rPr>
          <w:rFonts w:hint="eastAsia"/>
          <w:szCs w:val="21"/>
        </w:rPr>
        <w:t>、联合体各成员单位内部的职责分工如下：</w:t>
      </w:r>
      <w:r>
        <w:rPr>
          <w:rFonts w:hint="eastAsia"/>
          <w:szCs w:val="21"/>
          <w:u w:val="single"/>
        </w:rPr>
        <w:t>（牵头人名称）</w:t>
      </w:r>
      <w:r>
        <w:rPr>
          <w:rFonts w:hint="eastAsia"/>
          <w:szCs w:val="21"/>
        </w:rPr>
        <w:t>承担</w:t>
      </w:r>
      <w:r>
        <w:rPr>
          <w:szCs w:val="21"/>
        </w:rPr>
        <w:t>________</w:t>
      </w:r>
      <w:r>
        <w:rPr>
          <w:rFonts w:hint="eastAsia"/>
          <w:szCs w:val="21"/>
        </w:rPr>
        <w:t>专业工程，占总工程量的</w:t>
      </w:r>
      <w:r>
        <w:rPr>
          <w:szCs w:val="21"/>
        </w:rPr>
        <w:t>____%</w:t>
      </w:r>
      <w:r>
        <w:rPr>
          <w:rFonts w:hint="eastAsia"/>
          <w:szCs w:val="21"/>
        </w:rPr>
        <w:t>；</w:t>
      </w:r>
      <w:r>
        <w:rPr>
          <w:rFonts w:hint="eastAsia"/>
          <w:szCs w:val="21"/>
          <w:u w:val="single"/>
        </w:rPr>
        <w:t>（成员一名称）</w:t>
      </w:r>
      <w:r>
        <w:rPr>
          <w:rFonts w:hint="eastAsia"/>
          <w:szCs w:val="21"/>
        </w:rPr>
        <w:t>承担</w:t>
      </w:r>
      <w:r>
        <w:rPr>
          <w:szCs w:val="21"/>
        </w:rPr>
        <w:t>________</w:t>
      </w:r>
      <w:r>
        <w:rPr>
          <w:rFonts w:hint="eastAsia"/>
          <w:szCs w:val="21"/>
        </w:rPr>
        <w:t>专业工程，占总工程量的</w:t>
      </w:r>
      <w:r>
        <w:rPr>
          <w:szCs w:val="21"/>
        </w:rPr>
        <w:t>______ %</w:t>
      </w:r>
      <w:r>
        <w:rPr>
          <w:rFonts w:hint="eastAsia"/>
          <w:szCs w:val="21"/>
        </w:rPr>
        <w:t>；</w:t>
      </w:r>
      <w:r>
        <w:rPr>
          <w:szCs w:val="21"/>
        </w:rPr>
        <w:t>……</w:t>
      </w:r>
      <w:r>
        <w:rPr>
          <w:rFonts w:hint="eastAsia"/>
          <w:szCs w:val="21"/>
        </w:rPr>
        <w:t>。</w:t>
      </w:r>
    </w:p>
    <w:p w14:paraId="6EA3C532">
      <w:pPr>
        <w:topLinePunct/>
        <w:spacing w:line="360" w:lineRule="auto"/>
        <w:ind w:firstLine="420" w:firstLineChars="200"/>
        <w:rPr>
          <w:szCs w:val="21"/>
        </w:rPr>
      </w:pPr>
      <w:r>
        <w:rPr>
          <w:szCs w:val="21"/>
        </w:rPr>
        <w:t>5</w:t>
      </w:r>
      <w:r>
        <w:rPr>
          <w:rFonts w:hint="eastAsia"/>
          <w:szCs w:val="21"/>
        </w:rPr>
        <w:t>、</w:t>
      </w:r>
      <w:r>
        <w:rPr>
          <w:rFonts w:hint="eastAsia"/>
          <w:szCs w:val="21"/>
          <w:lang w:eastAsia="zh-CN"/>
        </w:rPr>
        <w:t>竞包</w:t>
      </w:r>
      <w:r>
        <w:rPr>
          <w:rFonts w:hint="eastAsia"/>
          <w:szCs w:val="21"/>
        </w:rPr>
        <w:t>工作和联合体在</w:t>
      </w:r>
      <w:r>
        <w:rPr>
          <w:rFonts w:hint="eastAsia"/>
          <w:szCs w:val="21"/>
          <w:lang w:val="en-US" w:eastAsia="zh-CN"/>
        </w:rPr>
        <w:t>承包</w:t>
      </w:r>
      <w:r>
        <w:rPr>
          <w:rFonts w:hint="eastAsia"/>
          <w:szCs w:val="21"/>
        </w:rPr>
        <w:t>后工程实施过程中的有关费用按各自承担的工作量分摊。</w:t>
      </w:r>
    </w:p>
    <w:p w14:paraId="697DC0E3">
      <w:pPr>
        <w:topLinePunct/>
        <w:spacing w:line="360" w:lineRule="auto"/>
        <w:ind w:firstLine="420" w:firstLineChars="200"/>
        <w:rPr>
          <w:szCs w:val="21"/>
        </w:rPr>
      </w:pPr>
      <w:r>
        <w:rPr>
          <w:szCs w:val="21"/>
        </w:rPr>
        <w:t>6</w:t>
      </w:r>
      <w:r>
        <w:rPr>
          <w:rFonts w:hint="eastAsia"/>
          <w:szCs w:val="21"/>
        </w:rPr>
        <w:t>、本协议书自所有成员单位签署之日起生效，合同履行完毕后自动失效。</w:t>
      </w:r>
      <w:r>
        <w:rPr>
          <w:szCs w:val="21"/>
        </w:rPr>
        <w:t xml:space="preserve"> </w:t>
      </w:r>
    </w:p>
    <w:p w14:paraId="2676E0BA">
      <w:pPr>
        <w:topLinePunct/>
        <w:spacing w:line="360" w:lineRule="auto"/>
        <w:ind w:firstLine="420" w:firstLineChars="200"/>
        <w:rPr>
          <w:szCs w:val="21"/>
        </w:rPr>
      </w:pPr>
      <w:r>
        <w:rPr>
          <w:szCs w:val="21"/>
        </w:rPr>
        <w:t>7</w:t>
      </w:r>
      <w:r>
        <w:rPr>
          <w:rFonts w:hint="eastAsia"/>
          <w:szCs w:val="21"/>
        </w:rPr>
        <w:t>、本协议书一式</w:t>
      </w:r>
      <w:r>
        <w:rPr>
          <w:szCs w:val="21"/>
          <w:u w:val="single"/>
        </w:rPr>
        <w:t xml:space="preserve">   </w:t>
      </w:r>
      <w:r>
        <w:rPr>
          <w:rFonts w:hint="eastAsia"/>
          <w:szCs w:val="21"/>
        </w:rPr>
        <w:t>份，联合体成员和</w:t>
      </w:r>
      <w:r>
        <w:rPr>
          <w:rFonts w:hint="eastAsia"/>
          <w:szCs w:val="21"/>
          <w:lang w:eastAsia="zh-CN"/>
        </w:rPr>
        <w:t>发包人</w:t>
      </w:r>
      <w:r>
        <w:rPr>
          <w:rFonts w:hint="eastAsia"/>
          <w:szCs w:val="21"/>
        </w:rPr>
        <w:t>各执一份。</w:t>
      </w:r>
    </w:p>
    <w:p w14:paraId="5B066F84">
      <w:pPr>
        <w:topLinePunct/>
        <w:spacing w:line="360" w:lineRule="auto"/>
        <w:rPr>
          <w:szCs w:val="21"/>
        </w:rPr>
      </w:pPr>
    </w:p>
    <w:p w14:paraId="48DC2CF8">
      <w:pPr>
        <w:topLinePunct/>
        <w:spacing w:line="360" w:lineRule="auto"/>
        <w:rPr>
          <w:szCs w:val="21"/>
        </w:rPr>
      </w:pPr>
      <w:r>
        <w:rPr>
          <w:rFonts w:hint="eastAsia"/>
          <w:szCs w:val="21"/>
        </w:rPr>
        <w:t>牵头人名称：</w:t>
      </w:r>
      <w:r>
        <w:rPr>
          <w:szCs w:val="21"/>
          <w:u w:val="single"/>
        </w:rPr>
        <w:t xml:space="preserve">                                 </w:t>
      </w:r>
      <w:r>
        <w:rPr>
          <w:rFonts w:hint="eastAsia"/>
          <w:szCs w:val="21"/>
        </w:rPr>
        <w:t>（盖单位电子印章）</w:t>
      </w:r>
    </w:p>
    <w:p w14:paraId="515C1AE0">
      <w:pPr>
        <w:topLinePunct/>
        <w:spacing w:line="360" w:lineRule="auto"/>
        <w:rPr>
          <w:szCs w:val="21"/>
        </w:rPr>
      </w:pPr>
      <w:r>
        <w:rPr>
          <w:rFonts w:hint="eastAsia"/>
          <w:szCs w:val="21"/>
        </w:rPr>
        <w:t>法定代表人：</w:t>
      </w:r>
      <w:r>
        <w:rPr>
          <w:szCs w:val="21"/>
          <w:u w:val="single"/>
        </w:rPr>
        <w:t xml:space="preserve">                                 </w:t>
      </w:r>
      <w:r>
        <w:rPr>
          <w:rFonts w:hint="eastAsia"/>
          <w:szCs w:val="21"/>
        </w:rPr>
        <w:t>（盖法定代表人电子章）</w:t>
      </w:r>
    </w:p>
    <w:p w14:paraId="587B024E">
      <w:pPr>
        <w:topLinePunct/>
        <w:spacing w:line="360" w:lineRule="auto"/>
        <w:rPr>
          <w:szCs w:val="21"/>
        </w:rPr>
      </w:pPr>
    </w:p>
    <w:p w14:paraId="4DD4E845">
      <w:pPr>
        <w:topLinePunct/>
        <w:spacing w:line="360" w:lineRule="auto"/>
        <w:rPr>
          <w:szCs w:val="21"/>
        </w:rPr>
      </w:pPr>
      <w:r>
        <w:rPr>
          <w:rFonts w:hint="eastAsia"/>
          <w:szCs w:val="21"/>
        </w:rPr>
        <w:t>成员一名称：</w:t>
      </w:r>
      <w:r>
        <w:rPr>
          <w:szCs w:val="21"/>
          <w:u w:val="single"/>
        </w:rPr>
        <w:t xml:space="preserve">                                 </w:t>
      </w:r>
      <w:r>
        <w:rPr>
          <w:rFonts w:hint="eastAsia"/>
          <w:szCs w:val="21"/>
        </w:rPr>
        <w:t>（盖单位电子印章）</w:t>
      </w:r>
    </w:p>
    <w:p w14:paraId="6A6660D2">
      <w:pPr>
        <w:topLinePunct/>
        <w:spacing w:line="360" w:lineRule="auto"/>
        <w:rPr>
          <w:szCs w:val="21"/>
        </w:rPr>
      </w:pPr>
      <w:r>
        <w:rPr>
          <w:rFonts w:hint="eastAsia"/>
          <w:szCs w:val="21"/>
        </w:rPr>
        <w:t>法定代表人：</w:t>
      </w:r>
      <w:r>
        <w:rPr>
          <w:szCs w:val="21"/>
          <w:u w:val="single"/>
        </w:rPr>
        <w:t xml:space="preserve">                                 </w:t>
      </w:r>
      <w:r>
        <w:rPr>
          <w:rFonts w:hint="eastAsia"/>
          <w:szCs w:val="21"/>
        </w:rPr>
        <w:t>（盖法定代表人电子章）</w:t>
      </w:r>
    </w:p>
    <w:p w14:paraId="57052794">
      <w:pPr>
        <w:topLinePunct/>
        <w:spacing w:line="360" w:lineRule="auto"/>
        <w:rPr>
          <w:szCs w:val="21"/>
        </w:rPr>
      </w:pPr>
      <w:r>
        <w:rPr>
          <w:szCs w:val="21"/>
        </w:rPr>
        <w:t xml:space="preserve"> </w:t>
      </w:r>
    </w:p>
    <w:p w14:paraId="76941A9B">
      <w:pPr>
        <w:topLinePunct/>
        <w:spacing w:line="360" w:lineRule="auto"/>
        <w:rPr>
          <w:szCs w:val="21"/>
        </w:rPr>
      </w:pPr>
      <w:r>
        <w:rPr>
          <w:rFonts w:hint="eastAsia"/>
          <w:szCs w:val="21"/>
        </w:rPr>
        <w:t>成员二名称：</w:t>
      </w:r>
      <w:r>
        <w:rPr>
          <w:szCs w:val="21"/>
          <w:u w:val="single"/>
        </w:rPr>
        <w:t xml:space="preserve">                                 </w:t>
      </w:r>
      <w:r>
        <w:rPr>
          <w:rFonts w:hint="eastAsia"/>
          <w:szCs w:val="21"/>
        </w:rPr>
        <w:t>（盖单位电子印章）</w:t>
      </w:r>
    </w:p>
    <w:p w14:paraId="28FA54C1">
      <w:pPr>
        <w:topLinePunct/>
        <w:spacing w:line="360" w:lineRule="auto"/>
        <w:rPr>
          <w:szCs w:val="21"/>
        </w:rPr>
      </w:pPr>
      <w:r>
        <w:rPr>
          <w:rFonts w:hint="eastAsia"/>
          <w:szCs w:val="21"/>
        </w:rPr>
        <w:t>法定代表人：</w:t>
      </w:r>
      <w:r>
        <w:rPr>
          <w:szCs w:val="21"/>
          <w:u w:val="single"/>
        </w:rPr>
        <w:t xml:space="preserve">                                 </w:t>
      </w:r>
      <w:r>
        <w:rPr>
          <w:rFonts w:hint="eastAsia"/>
          <w:szCs w:val="21"/>
        </w:rPr>
        <w:t>（盖法定代表人电子章）</w:t>
      </w:r>
    </w:p>
    <w:p w14:paraId="65629512">
      <w:pPr>
        <w:topLinePunct/>
        <w:spacing w:line="360" w:lineRule="auto"/>
        <w:rPr>
          <w:szCs w:val="21"/>
        </w:rPr>
      </w:pPr>
      <w:r>
        <w:rPr>
          <w:szCs w:val="21"/>
        </w:rPr>
        <w:t xml:space="preserve">…… </w:t>
      </w:r>
    </w:p>
    <w:p w14:paraId="5492D9FD">
      <w:pPr>
        <w:spacing w:line="360" w:lineRule="auto"/>
        <w:ind w:firstLine="2879" w:firstLineChars="1371"/>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14:paraId="7DE003C7">
      <w:pPr>
        <w:spacing w:line="360" w:lineRule="auto"/>
        <w:ind w:firstLine="420" w:firstLineChars="200"/>
      </w:pPr>
    </w:p>
    <w:p w14:paraId="1B918233">
      <w:pPr>
        <w:spacing w:line="360" w:lineRule="auto"/>
      </w:pPr>
      <w:r>
        <w:rPr>
          <w:rFonts w:hint="eastAsia"/>
        </w:rPr>
        <w:t>注：联合体协议书允许以纸质签署盖章扫描上传，联合体成员单位电子章可以单位公章代替，法定代表人电子章可以法定代表人签字或法定代表人印章代替。</w:t>
      </w:r>
    </w:p>
    <w:p w14:paraId="41855C20">
      <w:pPr>
        <w:spacing w:line="360" w:lineRule="auto"/>
        <w:ind w:firstLine="420" w:firstLineChars="200"/>
      </w:pPr>
      <w:r>
        <w:br w:type="page"/>
      </w:r>
    </w:p>
    <w:p w14:paraId="63EE4BC1">
      <w:pPr>
        <w:pStyle w:val="97"/>
        <w:jc w:val="center"/>
        <w:rPr>
          <w:sz w:val="36"/>
          <w:szCs w:val="36"/>
        </w:rPr>
      </w:pPr>
      <w:bookmarkStart w:id="471" w:name="_Toc154675220"/>
      <w:bookmarkStart w:id="472" w:name="_Toc388"/>
      <w:bookmarkStart w:id="473" w:name="_Toc13251"/>
      <w:r>
        <w:rPr>
          <w:rFonts w:hint="eastAsia"/>
          <w:sz w:val="36"/>
          <w:szCs w:val="36"/>
          <w:lang w:val="en-US" w:eastAsia="zh-CN"/>
        </w:rPr>
        <w:t>四</w:t>
      </w:r>
      <w:r>
        <w:rPr>
          <w:rFonts w:hint="eastAsia"/>
          <w:sz w:val="36"/>
          <w:szCs w:val="36"/>
        </w:rPr>
        <w:t>、资格审查资料</w:t>
      </w:r>
      <w:bookmarkEnd w:id="471"/>
      <w:bookmarkEnd w:id="472"/>
      <w:bookmarkEnd w:id="473"/>
    </w:p>
    <w:p w14:paraId="59C0EDD9">
      <w:pPr>
        <w:spacing w:line="360" w:lineRule="auto"/>
      </w:pPr>
    </w:p>
    <w:p w14:paraId="28972AF6">
      <w:pPr>
        <w:pStyle w:val="6"/>
        <w:jc w:val="center"/>
        <w:rPr>
          <w:sz w:val="28"/>
          <w:szCs w:val="28"/>
        </w:rPr>
      </w:pPr>
      <w:bookmarkStart w:id="474" w:name="_Toc154675221"/>
      <w:bookmarkStart w:id="475" w:name="_Toc1388"/>
      <w:r>
        <w:rPr>
          <w:rFonts w:hint="eastAsia"/>
          <w:sz w:val="28"/>
          <w:szCs w:val="28"/>
        </w:rPr>
        <w:t>（一）</w:t>
      </w:r>
      <w:r>
        <w:rPr>
          <w:rFonts w:hint="eastAsia"/>
          <w:sz w:val="28"/>
          <w:szCs w:val="28"/>
          <w:lang w:eastAsia="zh-CN"/>
        </w:rPr>
        <w:t>竞包人</w:t>
      </w:r>
      <w:r>
        <w:rPr>
          <w:rFonts w:hint="eastAsia"/>
          <w:sz w:val="28"/>
          <w:szCs w:val="28"/>
        </w:rPr>
        <w:t>基本情况表</w:t>
      </w:r>
      <w:bookmarkEnd w:id="474"/>
      <w:bookmarkEnd w:id="475"/>
    </w:p>
    <w:p w14:paraId="7AE3CCC6">
      <w:pPr>
        <w:spacing w:line="360" w:lineRule="auto"/>
      </w:pPr>
    </w:p>
    <w:tbl>
      <w:tblPr>
        <w:tblStyle w:val="44"/>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8"/>
        <w:gridCol w:w="1080"/>
        <w:gridCol w:w="1260"/>
        <w:gridCol w:w="720"/>
        <w:gridCol w:w="540"/>
        <w:gridCol w:w="1260"/>
        <w:gridCol w:w="180"/>
        <w:gridCol w:w="720"/>
        <w:gridCol w:w="1620"/>
      </w:tblGrid>
      <w:tr w14:paraId="4676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top w:val="single" w:color="auto" w:sz="12" w:space="0"/>
              <w:left w:val="single" w:color="auto" w:sz="12" w:space="0"/>
            </w:tcBorders>
            <w:vAlign w:val="center"/>
          </w:tcPr>
          <w:p w14:paraId="0951075F">
            <w:pPr>
              <w:spacing w:line="240" w:lineRule="auto"/>
              <w:jc w:val="center"/>
            </w:pPr>
            <w:r>
              <w:rPr>
                <w:rFonts w:hint="eastAsia"/>
                <w:lang w:eastAsia="zh-CN"/>
              </w:rPr>
              <w:t>竞包人</w:t>
            </w:r>
            <w:r>
              <w:rPr>
                <w:rFonts w:hint="eastAsia"/>
              </w:rPr>
              <w:t>名称</w:t>
            </w:r>
          </w:p>
        </w:tc>
        <w:tc>
          <w:tcPr>
            <w:tcW w:w="7380" w:type="dxa"/>
            <w:gridSpan w:val="8"/>
            <w:tcBorders>
              <w:top w:val="single" w:color="auto" w:sz="12" w:space="0"/>
              <w:right w:val="single" w:color="auto" w:sz="12" w:space="0"/>
            </w:tcBorders>
            <w:vAlign w:val="center"/>
          </w:tcPr>
          <w:p w14:paraId="4346F29E">
            <w:pPr>
              <w:spacing w:line="240" w:lineRule="auto"/>
              <w:jc w:val="center"/>
            </w:pPr>
          </w:p>
        </w:tc>
      </w:tr>
      <w:tr w14:paraId="660B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55522B96">
            <w:pPr>
              <w:spacing w:line="240" w:lineRule="auto"/>
              <w:jc w:val="center"/>
            </w:pPr>
            <w:r>
              <w:rPr>
                <w:rFonts w:hint="eastAsia"/>
              </w:rPr>
              <w:t>注册地址</w:t>
            </w:r>
          </w:p>
        </w:tc>
        <w:tc>
          <w:tcPr>
            <w:tcW w:w="3600" w:type="dxa"/>
            <w:gridSpan w:val="4"/>
            <w:vAlign w:val="center"/>
          </w:tcPr>
          <w:p w14:paraId="724F3711">
            <w:pPr>
              <w:spacing w:line="240" w:lineRule="auto"/>
              <w:jc w:val="center"/>
            </w:pPr>
          </w:p>
        </w:tc>
        <w:tc>
          <w:tcPr>
            <w:tcW w:w="1260" w:type="dxa"/>
            <w:vAlign w:val="center"/>
          </w:tcPr>
          <w:p w14:paraId="409A6681">
            <w:pPr>
              <w:spacing w:line="240" w:lineRule="auto"/>
              <w:jc w:val="center"/>
            </w:pPr>
            <w:r>
              <w:rPr>
                <w:rFonts w:hint="eastAsia"/>
              </w:rPr>
              <w:t>邮政编码</w:t>
            </w:r>
          </w:p>
        </w:tc>
        <w:tc>
          <w:tcPr>
            <w:tcW w:w="2520" w:type="dxa"/>
            <w:gridSpan w:val="3"/>
            <w:tcBorders>
              <w:right w:val="single" w:color="auto" w:sz="12" w:space="0"/>
            </w:tcBorders>
            <w:vAlign w:val="center"/>
          </w:tcPr>
          <w:p w14:paraId="0C8453D6">
            <w:pPr>
              <w:spacing w:line="240" w:lineRule="auto"/>
              <w:jc w:val="center"/>
            </w:pPr>
          </w:p>
        </w:tc>
      </w:tr>
      <w:tr w14:paraId="7F0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vMerge w:val="restart"/>
            <w:tcBorders>
              <w:left w:val="single" w:color="auto" w:sz="12" w:space="0"/>
            </w:tcBorders>
            <w:vAlign w:val="center"/>
          </w:tcPr>
          <w:p w14:paraId="0538AFB8">
            <w:pPr>
              <w:spacing w:line="240" w:lineRule="auto"/>
              <w:jc w:val="center"/>
            </w:pPr>
            <w:r>
              <w:rPr>
                <w:rFonts w:hint="eastAsia"/>
              </w:rPr>
              <w:t>联系方式</w:t>
            </w:r>
          </w:p>
        </w:tc>
        <w:tc>
          <w:tcPr>
            <w:tcW w:w="1080" w:type="dxa"/>
            <w:vAlign w:val="center"/>
          </w:tcPr>
          <w:p w14:paraId="20CBA9CC">
            <w:pPr>
              <w:spacing w:line="240" w:lineRule="auto"/>
              <w:jc w:val="center"/>
            </w:pPr>
            <w:r>
              <w:rPr>
                <w:rFonts w:hint="eastAsia"/>
              </w:rPr>
              <w:t>联系人</w:t>
            </w:r>
          </w:p>
        </w:tc>
        <w:tc>
          <w:tcPr>
            <w:tcW w:w="2520" w:type="dxa"/>
            <w:gridSpan w:val="3"/>
            <w:vAlign w:val="center"/>
          </w:tcPr>
          <w:p w14:paraId="378D216B">
            <w:pPr>
              <w:spacing w:line="240" w:lineRule="auto"/>
              <w:jc w:val="center"/>
            </w:pPr>
          </w:p>
        </w:tc>
        <w:tc>
          <w:tcPr>
            <w:tcW w:w="1260" w:type="dxa"/>
            <w:vAlign w:val="center"/>
          </w:tcPr>
          <w:p w14:paraId="7D6C15DC">
            <w:pPr>
              <w:spacing w:line="240" w:lineRule="auto"/>
              <w:jc w:val="center"/>
            </w:pPr>
            <w:r>
              <w:rPr>
                <w:rFonts w:hint="eastAsia"/>
              </w:rPr>
              <w:t>电</w:t>
            </w:r>
            <w:r>
              <w:t xml:space="preserve">  </w:t>
            </w:r>
            <w:r>
              <w:rPr>
                <w:rFonts w:hint="eastAsia"/>
              </w:rPr>
              <w:t>话</w:t>
            </w:r>
          </w:p>
        </w:tc>
        <w:tc>
          <w:tcPr>
            <w:tcW w:w="2520" w:type="dxa"/>
            <w:gridSpan w:val="3"/>
            <w:tcBorders>
              <w:right w:val="single" w:color="auto" w:sz="12" w:space="0"/>
            </w:tcBorders>
            <w:vAlign w:val="center"/>
          </w:tcPr>
          <w:p w14:paraId="452DEBF3">
            <w:pPr>
              <w:spacing w:line="240" w:lineRule="auto"/>
              <w:jc w:val="center"/>
            </w:pPr>
          </w:p>
        </w:tc>
      </w:tr>
      <w:tr w14:paraId="1FF1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vMerge w:val="continue"/>
            <w:tcBorders>
              <w:left w:val="single" w:color="auto" w:sz="12" w:space="0"/>
            </w:tcBorders>
            <w:vAlign w:val="center"/>
          </w:tcPr>
          <w:p w14:paraId="5DD1B545">
            <w:pPr>
              <w:spacing w:line="240" w:lineRule="auto"/>
              <w:jc w:val="center"/>
            </w:pPr>
          </w:p>
        </w:tc>
        <w:tc>
          <w:tcPr>
            <w:tcW w:w="1080" w:type="dxa"/>
            <w:vAlign w:val="center"/>
          </w:tcPr>
          <w:p w14:paraId="23ABFCA1">
            <w:pPr>
              <w:spacing w:line="240" w:lineRule="auto"/>
              <w:jc w:val="center"/>
            </w:pPr>
            <w:r>
              <w:rPr>
                <w:rFonts w:hint="eastAsia"/>
              </w:rPr>
              <w:t>传真</w:t>
            </w:r>
          </w:p>
        </w:tc>
        <w:tc>
          <w:tcPr>
            <w:tcW w:w="2520" w:type="dxa"/>
            <w:gridSpan w:val="3"/>
            <w:vAlign w:val="center"/>
          </w:tcPr>
          <w:p w14:paraId="2B312766">
            <w:pPr>
              <w:spacing w:line="240" w:lineRule="auto"/>
              <w:jc w:val="center"/>
            </w:pPr>
          </w:p>
        </w:tc>
        <w:tc>
          <w:tcPr>
            <w:tcW w:w="1260" w:type="dxa"/>
            <w:vAlign w:val="center"/>
          </w:tcPr>
          <w:p w14:paraId="717DBCD3">
            <w:pPr>
              <w:spacing w:line="240" w:lineRule="auto"/>
              <w:jc w:val="center"/>
            </w:pPr>
            <w:r>
              <w:rPr>
                <w:rFonts w:hint="eastAsia"/>
              </w:rPr>
              <w:t>电子邮件</w:t>
            </w:r>
          </w:p>
        </w:tc>
        <w:tc>
          <w:tcPr>
            <w:tcW w:w="2520" w:type="dxa"/>
            <w:gridSpan w:val="3"/>
            <w:tcBorders>
              <w:right w:val="single" w:color="auto" w:sz="12" w:space="0"/>
            </w:tcBorders>
            <w:vAlign w:val="center"/>
          </w:tcPr>
          <w:p w14:paraId="62121ECA">
            <w:pPr>
              <w:spacing w:line="240" w:lineRule="auto"/>
              <w:jc w:val="center"/>
            </w:pPr>
          </w:p>
        </w:tc>
      </w:tr>
      <w:tr w14:paraId="089F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66DE2084">
            <w:pPr>
              <w:spacing w:line="240" w:lineRule="auto"/>
              <w:jc w:val="center"/>
            </w:pPr>
            <w:r>
              <w:rPr>
                <w:rFonts w:hint="eastAsia"/>
              </w:rPr>
              <w:t>法定代表人</w:t>
            </w:r>
          </w:p>
        </w:tc>
        <w:tc>
          <w:tcPr>
            <w:tcW w:w="1080" w:type="dxa"/>
            <w:vAlign w:val="center"/>
          </w:tcPr>
          <w:p w14:paraId="3EA98A9C">
            <w:pPr>
              <w:spacing w:line="240" w:lineRule="auto"/>
              <w:jc w:val="center"/>
            </w:pPr>
            <w:r>
              <w:rPr>
                <w:rFonts w:hint="eastAsia"/>
              </w:rPr>
              <w:t>姓名</w:t>
            </w:r>
          </w:p>
        </w:tc>
        <w:tc>
          <w:tcPr>
            <w:tcW w:w="1260" w:type="dxa"/>
            <w:vAlign w:val="center"/>
          </w:tcPr>
          <w:p w14:paraId="435E9329">
            <w:pPr>
              <w:spacing w:line="240" w:lineRule="auto"/>
              <w:jc w:val="center"/>
            </w:pPr>
          </w:p>
        </w:tc>
        <w:tc>
          <w:tcPr>
            <w:tcW w:w="1260" w:type="dxa"/>
            <w:gridSpan w:val="2"/>
            <w:vAlign w:val="center"/>
          </w:tcPr>
          <w:p w14:paraId="62A68331">
            <w:pPr>
              <w:spacing w:line="240" w:lineRule="auto"/>
              <w:jc w:val="center"/>
            </w:pPr>
            <w:r>
              <w:rPr>
                <w:rFonts w:hint="eastAsia"/>
              </w:rPr>
              <w:t>技术职称</w:t>
            </w:r>
          </w:p>
        </w:tc>
        <w:tc>
          <w:tcPr>
            <w:tcW w:w="1440" w:type="dxa"/>
            <w:gridSpan w:val="2"/>
            <w:vAlign w:val="center"/>
          </w:tcPr>
          <w:p w14:paraId="5DB87BA6">
            <w:pPr>
              <w:spacing w:line="240" w:lineRule="auto"/>
              <w:jc w:val="center"/>
            </w:pPr>
          </w:p>
        </w:tc>
        <w:tc>
          <w:tcPr>
            <w:tcW w:w="720" w:type="dxa"/>
            <w:vAlign w:val="center"/>
          </w:tcPr>
          <w:p w14:paraId="6CB7E3F2">
            <w:pPr>
              <w:spacing w:line="240" w:lineRule="auto"/>
              <w:jc w:val="center"/>
            </w:pPr>
            <w:r>
              <w:rPr>
                <w:rFonts w:hint="eastAsia"/>
              </w:rPr>
              <w:t>电话</w:t>
            </w:r>
          </w:p>
        </w:tc>
        <w:tc>
          <w:tcPr>
            <w:tcW w:w="1620" w:type="dxa"/>
            <w:tcBorders>
              <w:right w:val="single" w:color="auto" w:sz="12" w:space="0"/>
            </w:tcBorders>
            <w:vAlign w:val="center"/>
          </w:tcPr>
          <w:p w14:paraId="56B313D3">
            <w:pPr>
              <w:spacing w:line="240" w:lineRule="auto"/>
              <w:jc w:val="center"/>
            </w:pPr>
          </w:p>
        </w:tc>
      </w:tr>
      <w:tr w14:paraId="01AD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2DBC8B52">
            <w:pPr>
              <w:spacing w:line="240" w:lineRule="auto"/>
              <w:jc w:val="center"/>
            </w:pPr>
            <w:r>
              <w:rPr>
                <w:rFonts w:hint="eastAsia"/>
              </w:rPr>
              <w:t>技术负责人</w:t>
            </w:r>
          </w:p>
        </w:tc>
        <w:tc>
          <w:tcPr>
            <w:tcW w:w="1080" w:type="dxa"/>
            <w:vAlign w:val="center"/>
          </w:tcPr>
          <w:p w14:paraId="69F31ACA">
            <w:pPr>
              <w:spacing w:line="240" w:lineRule="auto"/>
              <w:jc w:val="center"/>
            </w:pPr>
            <w:r>
              <w:rPr>
                <w:rFonts w:hint="eastAsia"/>
              </w:rPr>
              <w:t>姓名</w:t>
            </w:r>
          </w:p>
        </w:tc>
        <w:tc>
          <w:tcPr>
            <w:tcW w:w="1260" w:type="dxa"/>
            <w:vAlign w:val="center"/>
          </w:tcPr>
          <w:p w14:paraId="7B7DF12F">
            <w:pPr>
              <w:spacing w:line="240" w:lineRule="auto"/>
              <w:jc w:val="center"/>
            </w:pPr>
          </w:p>
        </w:tc>
        <w:tc>
          <w:tcPr>
            <w:tcW w:w="1260" w:type="dxa"/>
            <w:gridSpan w:val="2"/>
            <w:vAlign w:val="center"/>
          </w:tcPr>
          <w:p w14:paraId="14F08517">
            <w:pPr>
              <w:spacing w:line="240" w:lineRule="auto"/>
              <w:jc w:val="center"/>
            </w:pPr>
            <w:r>
              <w:rPr>
                <w:rFonts w:hint="eastAsia"/>
              </w:rPr>
              <w:t>技术职称</w:t>
            </w:r>
          </w:p>
        </w:tc>
        <w:tc>
          <w:tcPr>
            <w:tcW w:w="1440" w:type="dxa"/>
            <w:gridSpan w:val="2"/>
            <w:vAlign w:val="center"/>
          </w:tcPr>
          <w:p w14:paraId="1396A012">
            <w:pPr>
              <w:spacing w:line="240" w:lineRule="auto"/>
              <w:jc w:val="center"/>
            </w:pPr>
          </w:p>
        </w:tc>
        <w:tc>
          <w:tcPr>
            <w:tcW w:w="720" w:type="dxa"/>
            <w:vAlign w:val="center"/>
          </w:tcPr>
          <w:p w14:paraId="0F8022DC">
            <w:pPr>
              <w:spacing w:line="240" w:lineRule="auto"/>
              <w:jc w:val="center"/>
            </w:pPr>
            <w:r>
              <w:rPr>
                <w:rFonts w:hint="eastAsia"/>
              </w:rPr>
              <w:t>电话</w:t>
            </w:r>
          </w:p>
        </w:tc>
        <w:tc>
          <w:tcPr>
            <w:tcW w:w="1620" w:type="dxa"/>
            <w:tcBorders>
              <w:right w:val="single" w:color="auto" w:sz="12" w:space="0"/>
            </w:tcBorders>
            <w:vAlign w:val="center"/>
          </w:tcPr>
          <w:p w14:paraId="2F4CF30D">
            <w:pPr>
              <w:spacing w:line="240" w:lineRule="auto"/>
              <w:jc w:val="center"/>
            </w:pPr>
          </w:p>
        </w:tc>
      </w:tr>
      <w:tr w14:paraId="7067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233D3D5D">
            <w:pPr>
              <w:spacing w:line="240" w:lineRule="auto"/>
              <w:jc w:val="center"/>
            </w:pPr>
            <w:r>
              <w:rPr>
                <w:rFonts w:hint="eastAsia"/>
              </w:rPr>
              <w:t>营业执照号</w:t>
            </w:r>
          </w:p>
        </w:tc>
        <w:tc>
          <w:tcPr>
            <w:tcW w:w="2340" w:type="dxa"/>
            <w:gridSpan w:val="2"/>
            <w:vAlign w:val="center"/>
          </w:tcPr>
          <w:p w14:paraId="79800CAC">
            <w:pPr>
              <w:spacing w:line="240" w:lineRule="auto"/>
              <w:jc w:val="center"/>
            </w:pPr>
          </w:p>
        </w:tc>
        <w:tc>
          <w:tcPr>
            <w:tcW w:w="5040" w:type="dxa"/>
            <w:gridSpan w:val="6"/>
            <w:tcBorders>
              <w:right w:val="single" w:color="auto" w:sz="12" w:space="0"/>
            </w:tcBorders>
            <w:vAlign w:val="center"/>
          </w:tcPr>
          <w:p w14:paraId="69049C25">
            <w:pPr>
              <w:spacing w:line="240" w:lineRule="auto"/>
              <w:jc w:val="center"/>
            </w:pPr>
            <w:r>
              <w:rPr>
                <w:rFonts w:hint="eastAsia"/>
              </w:rPr>
              <w:t>员工总人数：</w:t>
            </w:r>
          </w:p>
        </w:tc>
      </w:tr>
      <w:tr w14:paraId="313D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7966910C">
            <w:pPr>
              <w:spacing w:line="240" w:lineRule="auto"/>
              <w:jc w:val="center"/>
            </w:pPr>
            <w:r>
              <w:rPr>
                <w:rFonts w:hint="eastAsia"/>
              </w:rPr>
              <w:t>企业资质等级</w:t>
            </w:r>
          </w:p>
        </w:tc>
        <w:tc>
          <w:tcPr>
            <w:tcW w:w="2340" w:type="dxa"/>
            <w:gridSpan w:val="2"/>
            <w:vAlign w:val="center"/>
          </w:tcPr>
          <w:p w14:paraId="6577E3DF">
            <w:pPr>
              <w:spacing w:line="240" w:lineRule="auto"/>
              <w:jc w:val="center"/>
            </w:pPr>
          </w:p>
        </w:tc>
        <w:tc>
          <w:tcPr>
            <w:tcW w:w="720" w:type="dxa"/>
            <w:vMerge w:val="restart"/>
            <w:vAlign w:val="center"/>
          </w:tcPr>
          <w:p w14:paraId="4BDC011D">
            <w:pPr>
              <w:spacing w:line="240" w:lineRule="auto"/>
              <w:jc w:val="center"/>
            </w:pPr>
            <w:r>
              <w:rPr>
                <w:rFonts w:hint="eastAsia"/>
              </w:rPr>
              <w:t>其中</w:t>
            </w:r>
          </w:p>
        </w:tc>
        <w:tc>
          <w:tcPr>
            <w:tcW w:w="1980" w:type="dxa"/>
            <w:gridSpan w:val="3"/>
            <w:vAlign w:val="center"/>
          </w:tcPr>
          <w:p w14:paraId="4108E433">
            <w:pPr>
              <w:spacing w:line="240" w:lineRule="auto"/>
              <w:jc w:val="center"/>
            </w:pPr>
            <w:r>
              <w:rPr>
                <w:rFonts w:hint="eastAsia"/>
              </w:rPr>
              <w:t>项目经理</w:t>
            </w:r>
          </w:p>
        </w:tc>
        <w:tc>
          <w:tcPr>
            <w:tcW w:w="2340" w:type="dxa"/>
            <w:gridSpan w:val="2"/>
            <w:tcBorders>
              <w:right w:val="single" w:color="auto" w:sz="12" w:space="0"/>
            </w:tcBorders>
            <w:vAlign w:val="center"/>
          </w:tcPr>
          <w:p w14:paraId="31744268">
            <w:pPr>
              <w:spacing w:line="240" w:lineRule="auto"/>
              <w:jc w:val="center"/>
            </w:pPr>
          </w:p>
        </w:tc>
      </w:tr>
      <w:tr w14:paraId="1D84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582227DF">
            <w:pPr>
              <w:spacing w:line="240" w:lineRule="auto"/>
              <w:jc w:val="center"/>
            </w:pPr>
            <w:r>
              <w:rPr>
                <w:rFonts w:hint="eastAsia"/>
              </w:rPr>
              <w:t>注册资本</w:t>
            </w:r>
          </w:p>
        </w:tc>
        <w:tc>
          <w:tcPr>
            <w:tcW w:w="2340" w:type="dxa"/>
            <w:gridSpan w:val="2"/>
            <w:vAlign w:val="center"/>
          </w:tcPr>
          <w:p w14:paraId="110A3D61">
            <w:pPr>
              <w:spacing w:line="240" w:lineRule="auto"/>
              <w:jc w:val="center"/>
            </w:pPr>
          </w:p>
        </w:tc>
        <w:tc>
          <w:tcPr>
            <w:tcW w:w="720" w:type="dxa"/>
            <w:vMerge w:val="continue"/>
            <w:vAlign w:val="center"/>
          </w:tcPr>
          <w:p w14:paraId="4D773BD0">
            <w:pPr>
              <w:spacing w:line="240" w:lineRule="auto"/>
              <w:jc w:val="center"/>
            </w:pPr>
          </w:p>
        </w:tc>
        <w:tc>
          <w:tcPr>
            <w:tcW w:w="1980" w:type="dxa"/>
            <w:gridSpan w:val="3"/>
            <w:vAlign w:val="center"/>
          </w:tcPr>
          <w:p w14:paraId="375F6E9D">
            <w:pPr>
              <w:spacing w:line="240" w:lineRule="auto"/>
              <w:jc w:val="center"/>
            </w:pPr>
            <w:r>
              <w:rPr>
                <w:rFonts w:hint="eastAsia"/>
              </w:rPr>
              <w:t>高级职称人员</w:t>
            </w:r>
          </w:p>
        </w:tc>
        <w:tc>
          <w:tcPr>
            <w:tcW w:w="2340" w:type="dxa"/>
            <w:gridSpan w:val="2"/>
            <w:tcBorders>
              <w:right w:val="single" w:color="auto" w:sz="12" w:space="0"/>
            </w:tcBorders>
            <w:vAlign w:val="center"/>
          </w:tcPr>
          <w:p w14:paraId="387757CB">
            <w:pPr>
              <w:spacing w:line="240" w:lineRule="auto"/>
              <w:jc w:val="center"/>
            </w:pPr>
          </w:p>
        </w:tc>
      </w:tr>
      <w:tr w14:paraId="65E0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0EF788B3">
            <w:pPr>
              <w:spacing w:line="240" w:lineRule="auto"/>
              <w:jc w:val="center"/>
            </w:pPr>
            <w:r>
              <w:rPr>
                <w:rFonts w:hint="eastAsia"/>
              </w:rPr>
              <w:t>成立日期</w:t>
            </w:r>
          </w:p>
        </w:tc>
        <w:tc>
          <w:tcPr>
            <w:tcW w:w="2340" w:type="dxa"/>
            <w:gridSpan w:val="2"/>
            <w:vAlign w:val="center"/>
          </w:tcPr>
          <w:p w14:paraId="3DBC6172">
            <w:pPr>
              <w:spacing w:line="240" w:lineRule="auto"/>
              <w:jc w:val="center"/>
            </w:pPr>
          </w:p>
        </w:tc>
        <w:tc>
          <w:tcPr>
            <w:tcW w:w="720" w:type="dxa"/>
            <w:vMerge w:val="continue"/>
            <w:vAlign w:val="center"/>
          </w:tcPr>
          <w:p w14:paraId="5BAEE208">
            <w:pPr>
              <w:spacing w:line="240" w:lineRule="auto"/>
              <w:jc w:val="center"/>
            </w:pPr>
          </w:p>
        </w:tc>
        <w:tc>
          <w:tcPr>
            <w:tcW w:w="1980" w:type="dxa"/>
            <w:gridSpan w:val="3"/>
            <w:vAlign w:val="center"/>
          </w:tcPr>
          <w:p w14:paraId="11DDB2BF">
            <w:pPr>
              <w:spacing w:line="240" w:lineRule="auto"/>
              <w:jc w:val="center"/>
            </w:pPr>
            <w:r>
              <w:rPr>
                <w:rFonts w:hint="eastAsia"/>
              </w:rPr>
              <w:t>中级职称人员</w:t>
            </w:r>
          </w:p>
        </w:tc>
        <w:tc>
          <w:tcPr>
            <w:tcW w:w="2340" w:type="dxa"/>
            <w:gridSpan w:val="2"/>
            <w:tcBorders>
              <w:right w:val="single" w:color="auto" w:sz="12" w:space="0"/>
            </w:tcBorders>
            <w:vAlign w:val="center"/>
          </w:tcPr>
          <w:p w14:paraId="5168B394">
            <w:pPr>
              <w:spacing w:line="240" w:lineRule="auto"/>
              <w:jc w:val="center"/>
            </w:pPr>
          </w:p>
        </w:tc>
      </w:tr>
      <w:tr w14:paraId="6561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41CE461E">
            <w:pPr>
              <w:spacing w:line="240" w:lineRule="auto"/>
              <w:jc w:val="center"/>
            </w:pPr>
            <w:r>
              <w:rPr>
                <w:rFonts w:hint="eastAsia"/>
              </w:rPr>
              <w:t>基本账户开户银行</w:t>
            </w:r>
          </w:p>
        </w:tc>
        <w:tc>
          <w:tcPr>
            <w:tcW w:w="2340" w:type="dxa"/>
            <w:gridSpan w:val="2"/>
            <w:vAlign w:val="center"/>
          </w:tcPr>
          <w:p w14:paraId="67900AD3">
            <w:pPr>
              <w:spacing w:line="240" w:lineRule="auto"/>
              <w:jc w:val="center"/>
            </w:pPr>
          </w:p>
        </w:tc>
        <w:tc>
          <w:tcPr>
            <w:tcW w:w="720" w:type="dxa"/>
            <w:vMerge w:val="continue"/>
            <w:vAlign w:val="center"/>
          </w:tcPr>
          <w:p w14:paraId="3898FC55">
            <w:pPr>
              <w:spacing w:line="240" w:lineRule="auto"/>
              <w:jc w:val="center"/>
            </w:pPr>
          </w:p>
        </w:tc>
        <w:tc>
          <w:tcPr>
            <w:tcW w:w="1980" w:type="dxa"/>
            <w:gridSpan w:val="3"/>
            <w:vAlign w:val="center"/>
          </w:tcPr>
          <w:p w14:paraId="03BC1DEE">
            <w:pPr>
              <w:spacing w:line="240" w:lineRule="auto"/>
              <w:jc w:val="center"/>
            </w:pPr>
            <w:r>
              <w:rPr>
                <w:rFonts w:hint="eastAsia"/>
              </w:rPr>
              <w:t>初级职称人员</w:t>
            </w:r>
          </w:p>
        </w:tc>
        <w:tc>
          <w:tcPr>
            <w:tcW w:w="2340" w:type="dxa"/>
            <w:gridSpan w:val="2"/>
            <w:tcBorders>
              <w:right w:val="single" w:color="auto" w:sz="12" w:space="0"/>
            </w:tcBorders>
            <w:vAlign w:val="center"/>
          </w:tcPr>
          <w:p w14:paraId="67BCC4D7">
            <w:pPr>
              <w:spacing w:line="240" w:lineRule="auto"/>
              <w:jc w:val="center"/>
            </w:pPr>
          </w:p>
        </w:tc>
      </w:tr>
      <w:tr w14:paraId="6F6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 w:hRule="atLeast"/>
        </w:trPr>
        <w:tc>
          <w:tcPr>
            <w:tcW w:w="1828" w:type="dxa"/>
            <w:tcBorders>
              <w:left w:val="single" w:color="auto" w:sz="12" w:space="0"/>
            </w:tcBorders>
            <w:vAlign w:val="center"/>
          </w:tcPr>
          <w:p w14:paraId="3F7CB47E">
            <w:pPr>
              <w:spacing w:line="240" w:lineRule="auto"/>
              <w:jc w:val="center"/>
            </w:pPr>
            <w:r>
              <w:rPr>
                <w:rFonts w:hint="eastAsia"/>
              </w:rPr>
              <w:t>基本账户银行账号</w:t>
            </w:r>
          </w:p>
        </w:tc>
        <w:tc>
          <w:tcPr>
            <w:tcW w:w="2340" w:type="dxa"/>
            <w:gridSpan w:val="2"/>
            <w:vAlign w:val="center"/>
          </w:tcPr>
          <w:p w14:paraId="1D1CA409">
            <w:pPr>
              <w:spacing w:line="240" w:lineRule="auto"/>
              <w:jc w:val="center"/>
            </w:pPr>
          </w:p>
        </w:tc>
        <w:tc>
          <w:tcPr>
            <w:tcW w:w="720" w:type="dxa"/>
            <w:vMerge w:val="continue"/>
            <w:vAlign w:val="center"/>
          </w:tcPr>
          <w:p w14:paraId="2FF6733B">
            <w:pPr>
              <w:spacing w:line="240" w:lineRule="auto"/>
              <w:jc w:val="center"/>
            </w:pPr>
          </w:p>
        </w:tc>
        <w:tc>
          <w:tcPr>
            <w:tcW w:w="1980" w:type="dxa"/>
            <w:gridSpan w:val="3"/>
            <w:vAlign w:val="center"/>
          </w:tcPr>
          <w:p w14:paraId="1F5E69B8">
            <w:pPr>
              <w:spacing w:line="240" w:lineRule="auto"/>
              <w:jc w:val="center"/>
            </w:pPr>
            <w:r>
              <w:rPr>
                <w:rFonts w:hint="eastAsia"/>
              </w:rPr>
              <w:t>技工</w:t>
            </w:r>
          </w:p>
        </w:tc>
        <w:tc>
          <w:tcPr>
            <w:tcW w:w="2340" w:type="dxa"/>
            <w:gridSpan w:val="2"/>
            <w:tcBorders>
              <w:right w:val="single" w:color="auto" w:sz="12" w:space="0"/>
            </w:tcBorders>
            <w:vAlign w:val="center"/>
          </w:tcPr>
          <w:p w14:paraId="74FDABE8">
            <w:pPr>
              <w:spacing w:line="240" w:lineRule="auto"/>
              <w:jc w:val="center"/>
            </w:pPr>
          </w:p>
        </w:tc>
      </w:tr>
      <w:tr w14:paraId="3B1C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828" w:type="dxa"/>
            <w:tcBorders>
              <w:left w:val="single" w:color="auto" w:sz="12" w:space="0"/>
            </w:tcBorders>
            <w:vAlign w:val="center"/>
          </w:tcPr>
          <w:p w14:paraId="40C7B8CF">
            <w:pPr>
              <w:spacing w:line="240" w:lineRule="auto"/>
              <w:jc w:val="center"/>
            </w:pPr>
            <w:r>
              <w:rPr>
                <w:rFonts w:hint="eastAsia"/>
              </w:rPr>
              <w:t>经营范围</w:t>
            </w:r>
          </w:p>
        </w:tc>
        <w:tc>
          <w:tcPr>
            <w:tcW w:w="7380" w:type="dxa"/>
            <w:gridSpan w:val="8"/>
            <w:tcBorders>
              <w:right w:val="single" w:color="auto" w:sz="12" w:space="0"/>
            </w:tcBorders>
            <w:vAlign w:val="center"/>
          </w:tcPr>
          <w:p w14:paraId="18599AC1">
            <w:pPr>
              <w:spacing w:line="240" w:lineRule="auto"/>
              <w:jc w:val="center"/>
            </w:pPr>
          </w:p>
        </w:tc>
      </w:tr>
      <w:tr w14:paraId="3AC9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14" w:hRule="atLeast"/>
        </w:trPr>
        <w:tc>
          <w:tcPr>
            <w:tcW w:w="1828" w:type="dxa"/>
            <w:tcBorders>
              <w:left w:val="single" w:color="auto" w:sz="12" w:space="0"/>
            </w:tcBorders>
            <w:vAlign w:val="center"/>
          </w:tcPr>
          <w:p w14:paraId="5985C622">
            <w:pPr>
              <w:spacing w:line="240" w:lineRule="auto"/>
              <w:jc w:val="center"/>
            </w:pPr>
            <w:r>
              <w:rPr>
                <w:rFonts w:hint="eastAsia"/>
                <w:lang w:eastAsia="zh-CN"/>
              </w:rPr>
              <w:t>竞包人</w:t>
            </w:r>
            <w:r>
              <w:rPr>
                <w:rFonts w:hint="eastAsia"/>
              </w:rPr>
              <w:t>关联企业情况</w:t>
            </w:r>
          </w:p>
        </w:tc>
        <w:tc>
          <w:tcPr>
            <w:tcW w:w="7380" w:type="dxa"/>
            <w:gridSpan w:val="8"/>
            <w:tcBorders>
              <w:right w:val="single" w:color="auto" w:sz="12" w:space="0"/>
            </w:tcBorders>
            <w:vAlign w:val="center"/>
          </w:tcPr>
          <w:p w14:paraId="4F3680E2">
            <w:pPr>
              <w:spacing w:line="240" w:lineRule="auto"/>
            </w:pPr>
            <w:r>
              <w:rPr>
                <w:rFonts w:hint="eastAsia"/>
                <w:lang w:eastAsia="zh-CN"/>
              </w:rPr>
              <w:t>竞包人</w:t>
            </w:r>
            <w:r>
              <w:rPr>
                <w:rFonts w:hint="eastAsia"/>
              </w:rPr>
              <w:t>应提供关联企业情况，包括：</w:t>
            </w:r>
          </w:p>
          <w:p w14:paraId="122800C2">
            <w:pPr>
              <w:spacing w:line="240" w:lineRule="auto"/>
            </w:pPr>
            <w:r>
              <w:rPr>
                <w:rFonts w:hint="eastAsia"/>
              </w:rPr>
              <w:t>（</w:t>
            </w:r>
            <w:r>
              <w:t>1</w:t>
            </w:r>
            <w:r>
              <w:rPr>
                <w:rFonts w:hint="eastAsia"/>
              </w:rPr>
              <w:t>）</w:t>
            </w:r>
            <w:r>
              <w:rPr>
                <w:rFonts w:hint="eastAsia"/>
                <w:lang w:eastAsia="zh-CN"/>
              </w:rPr>
              <w:t>竞包人</w:t>
            </w:r>
            <w:r>
              <w:rPr>
                <w:rFonts w:hint="eastAsia"/>
              </w:rPr>
              <w:t>的所有股东名称及相应股权（出资额）比例；如</w:t>
            </w:r>
            <w:r>
              <w:rPr>
                <w:rFonts w:hint="eastAsia"/>
                <w:lang w:eastAsia="zh-CN"/>
              </w:rPr>
              <w:t>竞包人</w:t>
            </w:r>
            <w:r>
              <w:rPr>
                <w:rFonts w:hint="eastAsia"/>
              </w:rPr>
              <w:t>为上市公司，</w:t>
            </w:r>
            <w:r>
              <w:rPr>
                <w:rFonts w:hint="eastAsia"/>
                <w:lang w:eastAsia="zh-CN"/>
              </w:rPr>
              <w:t>竞包人</w:t>
            </w:r>
            <w:r>
              <w:rPr>
                <w:rFonts w:hint="eastAsia"/>
              </w:rPr>
              <w:t>应提供股权占公司股份总数</w:t>
            </w:r>
            <w:r>
              <w:t>10 %</w:t>
            </w:r>
            <w:r>
              <w:rPr>
                <w:rFonts w:hint="eastAsia"/>
              </w:rPr>
              <w:t>以上的所有股东名称及相应股权比例；</w:t>
            </w:r>
          </w:p>
          <w:p w14:paraId="4D4A0A40">
            <w:pPr>
              <w:spacing w:line="240" w:lineRule="auto"/>
            </w:pPr>
            <w:r>
              <w:rPr>
                <w:rFonts w:hint="eastAsia"/>
              </w:rPr>
              <w:t>（</w:t>
            </w:r>
            <w:r>
              <w:t>2</w:t>
            </w:r>
            <w:r>
              <w:rPr>
                <w:rFonts w:hint="eastAsia"/>
              </w:rPr>
              <w:t>）</w:t>
            </w:r>
            <w:r>
              <w:rPr>
                <w:rFonts w:hint="eastAsia"/>
                <w:lang w:eastAsia="zh-CN"/>
              </w:rPr>
              <w:t>竞包人</w:t>
            </w:r>
            <w:r>
              <w:rPr>
                <w:rFonts w:hint="eastAsia"/>
              </w:rPr>
              <w:t>投资（控股）或管理的下属企业名称、持有股权（出资额）比例；</w:t>
            </w:r>
          </w:p>
          <w:p w14:paraId="6537B628">
            <w:pPr>
              <w:spacing w:line="240" w:lineRule="auto"/>
            </w:pPr>
            <w:r>
              <w:rPr>
                <w:rFonts w:hint="eastAsia"/>
              </w:rPr>
              <w:t>（</w:t>
            </w:r>
            <w:r>
              <w:t>3</w:t>
            </w:r>
            <w:r>
              <w:rPr>
                <w:rFonts w:hint="eastAsia"/>
              </w:rPr>
              <w:t>）与</w:t>
            </w:r>
            <w:r>
              <w:rPr>
                <w:rFonts w:hint="eastAsia"/>
                <w:lang w:eastAsia="zh-CN"/>
              </w:rPr>
              <w:t>竞包人</w:t>
            </w:r>
            <w:r>
              <w:rPr>
                <w:rFonts w:hint="eastAsia"/>
              </w:rPr>
              <w:t>单位负责人（即法定代表人）为同一人的其他单位名称。</w:t>
            </w:r>
          </w:p>
        </w:tc>
      </w:tr>
      <w:tr w14:paraId="3E4B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8" w:hRule="atLeast"/>
        </w:trPr>
        <w:tc>
          <w:tcPr>
            <w:tcW w:w="1828" w:type="dxa"/>
            <w:tcBorders>
              <w:left w:val="single" w:color="auto" w:sz="12" w:space="0"/>
              <w:bottom w:val="single" w:color="auto" w:sz="12" w:space="0"/>
            </w:tcBorders>
            <w:vAlign w:val="center"/>
          </w:tcPr>
          <w:p w14:paraId="1A346205">
            <w:pPr>
              <w:spacing w:line="240" w:lineRule="auto"/>
              <w:jc w:val="center"/>
            </w:pPr>
            <w:r>
              <w:rPr>
                <w:rFonts w:hint="eastAsia"/>
              </w:rPr>
              <w:t>备注</w:t>
            </w:r>
          </w:p>
        </w:tc>
        <w:tc>
          <w:tcPr>
            <w:tcW w:w="7380" w:type="dxa"/>
            <w:gridSpan w:val="8"/>
            <w:tcBorders>
              <w:bottom w:val="single" w:color="auto" w:sz="12" w:space="0"/>
              <w:right w:val="single" w:color="auto" w:sz="12" w:space="0"/>
            </w:tcBorders>
            <w:vAlign w:val="center"/>
          </w:tcPr>
          <w:p w14:paraId="7F6AAEA9">
            <w:pPr>
              <w:spacing w:line="240" w:lineRule="auto"/>
            </w:pPr>
          </w:p>
        </w:tc>
      </w:tr>
    </w:tbl>
    <w:p w14:paraId="5E3999F1">
      <w:pPr>
        <w:spacing w:line="360" w:lineRule="auto"/>
        <w:ind w:left="945" w:leftChars="200" w:right="-153" w:rightChars="-73" w:hanging="525" w:hangingChars="250"/>
      </w:pPr>
      <w:r>
        <w:rPr>
          <w:rFonts w:hint="eastAsia"/>
        </w:rPr>
        <w:t>注：</w:t>
      </w:r>
      <w:r>
        <w:t>1.</w:t>
      </w:r>
      <w:r>
        <w:rPr>
          <w:rFonts w:hint="eastAsia"/>
          <w:lang w:eastAsia="zh-CN"/>
        </w:rPr>
        <w:t>竞包人</w:t>
      </w:r>
      <w:r>
        <w:rPr>
          <w:rFonts w:hint="eastAsia"/>
        </w:rPr>
        <w:t>应根据</w:t>
      </w:r>
      <w:r>
        <w:rPr>
          <w:rFonts w:hint="eastAsia"/>
          <w:lang w:eastAsia="zh-CN"/>
        </w:rPr>
        <w:t>发包文件</w:t>
      </w:r>
      <w:r>
        <w:rPr>
          <w:rFonts w:hint="eastAsia"/>
        </w:rPr>
        <w:t>第二章</w:t>
      </w:r>
      <w:r>
        <w:t>“</w:t>
      </w:r>
      <w:r>
        <w:rPr>
          <w:rFonts w:hint="eastAsia"/>
          <w:lang w:eastAsia="zh-CN"/>
        </w:rPr>
        <w:t>竞包人</w:t>
      </w:r>
      <w:r>
        <w:rPr>
          <w:rFonts w:hint="eastAsia"/>
        </w:rPr>
        <w:t>须知</w:t>
      </w:r>
      <w:r>
        <w:t>”</w:t>
      </w:r>
      <w:r>
        <w:rPr>
          <w:rFonts w:hint="eastAsia"/>
        </w:rPr>
        <w:t>第</w:t>
      </w:r>
      <w:r>
        <w:t>3.5.1</w:t>
      </w:r>
      <w:r>
        <w:rPr>
          <w:rFonts w:hint="eastAsia"/>
        </w:rPr>
        <w:t>项的要求在本表后附相关证明材料。</w:t>
      </w:r>
    </w:p>
    <w:p w14:paraId="5F02C268">
      <w:pPr>
        <w:spacing w:line="360" w:lineRule="auto"/>
        <w:ind w:firstLine="840" w:firstLineChars="400"/>
      </w:pPr>
      <w:r>
        <w:t>2.</w:t>
      </w:r>
      <w:r>
        <w:rPr>
          <w:rFonts w:hint="eastAsia"/>
        </w:rPr>
        <w:t>以联合体形式参与</w:t>
      </w:r>
      <w:r>
        <w:rPr>
          <w:rFonts w:hint="eastAsia"/>
          <w:lang w:eastAsia="zh-CN"/>
        </w:rPr>
        <w:t>竞包</w:t>
      </w:r>
      <w:r>
        <w:rPr>
          <w:rFonts w:hint="eastAsia"/>
        </w:rPr>
        <w:t>的，联合体各成员应分别填写。</w:t>
      </w:r>
    </w:p>
    <w:p w14:paraId="7E76C785">
      <w:pPr>
        <w:widowControl/>
        <w:spacing w:line="360" w:lineRule="auto"/>
        <w:jc w:val="left"/>
      </w:pPr>
      <w:r>
        <w:br w:type="page"/>
      </w:r>
    </w:p>
    <w:p w14:paraId="2ED25C07">
      <w:pPr>
        <w:widowControl/>
        <w:spacing w:line="360" w:lineRule="auto"/>
        <w:jc w:val="left"/>
        <w:rPr>
          <w:rFonts w:ascii="宋体" w:hAnsi="宋体"/>
          <w:sz w:val="28"/>
          <w:szCs w:val="28"/>
        </w:rPr>
      </w:pPr>
    </w:p>
    <w:p w14:paraId="5CAECB69">
      <w:pPr>
        <w:widowControl/>
        <w:spacing w:line="360" w:lineRule="auto"/>
        <w:jc w:val="center"/>
        <w:rPr>
          <w:rFonts w:ascii="宋体" w:hAnsi="宋体"/>
          <w:b/>
          <w:bCs/>
          <w:sz w:val="28"/>
          <w:szCs w:val="28"/>
        </w:rPr>
      </w:pPr>
      <w:r>
        <w:rPr>
          <w:rFonts w:hint="eastAsia" w:ascii="宋体" w:hAnsi="宋体"/>
          <w:b/>
          <w:bCs/>
          <w:sz w:val="28"/>
          <w:szCs w:val="28"/>
        </w:rPr>
        <w:t>□中小企业声明函</w:t>
      </w:r>
    </w:p>
    <w:p w14:paraId="3B959F1F">
      <w:pPr>
        <w:widowControl/>
        <w:spacing w:line="360" w:lineRule="auto"/>
        <w:jc w:val="left"/>
        <w:rPr>
          <w:rFonts w:ascii="宋体" w:hAnsi="宋体"/>
          <w:szCs w:val="21"/>
        </w:rPr>
      </w:pPr>
    </w:p>
    <w:p w14:paraId="075194FA">
      <w:pPr>
        <w:widowControl/>
        <w:spacing w:line="360" w:lineRule="auto"/>
        <w:ind w:firstLine="420" w:firstLineChars="200"/>
        <w:jc w:val="left"/>
        <w:rPr>
          <w:rFonts w:ascii="宋体" w:hAnsi="宋体"/>
          <w:szCs w:val="21"/>
        </w:rPr>
      </w:pPr>
      <w:r>
        <w:rPr>
          <w:rFonts w:hint="eastAsia" w:ascii="宋体" w:hAnsi="宋体"/>
          <w:szCs w:val="21"/>
        </w:rPr>
        <w:t>本公司（联合体）郑重声明，根据《政府采购促进中小企业发展管理办法》（财库〔</w:t>
      </w:r>
      <w:r>
        <w:rPr>
          <w:rFonts w:ascii="宋体" w:hAnsi="宋体"/>
          <w:szCs w:val="21"/>
        </w:rPr>
        <w:t>2020〕46号）的规定，本公司（联合体)参加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（工程名称）</w:t>
      </w:r>
      <w:r>
        <w:rPr>
          <w:rFonts w:hint="eastAsia" w:ascii="宋体" w:hAnsi="宋体"/>
          <w:szCs w:val="21"/>
        </w:rPr>
        <w:t>招</w:t>
      </w:r>
      <w:r>
        <w:rPr>
          <w:rFonts w:hint="eastAsia" w:ascii="宋体" w:hAnsi="宋体"/>
          <w:szCs w:val="21"/>
          <w:lang w:eastAsia="zh-CN"/>
        </w:rPr>
        <w:t>竞包</w:t>
      </w:r>
      <w:r>
        <w:rPr>
          <w:rFonts w:hint="eastAsia" w:ascii="宋体" w:hAnsi="宋体"/>
          <w:szCs w:val="21"/>
        </w:rPr>
        <w:t>活动，工程的施工单位全部为符合政策要求的中小企业（或者：服务全部由符合政策要求的中小企业承接）。相关企业（含联合体中的中小企业、签订分包意向协议的中小企业）的具体情况如下：</w:t>
      </w:r>
    </w:p>
    <w:p w14:paraId="2693DD37">
      <w:pPr>
        <w:widowControl/>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u w:val="single"/>
        </w:rPr>
        <w:t>（工程名称）</w:t>
      </w:r>
      <w:r>
        <w:rPr>
          <w:rFonts w:ascii="宋体" w:hAnsi="宋体"/>
          <w:szCs w:val="21"/>
        </w:rPr>
        <w:t>,属于</w:t>
      </w:r>
      <w:r>
        <w:rPr>
          <w:rFonts w:hint="eastAsia" w:ascii="宋体" w:hAnsi="宋体"/>
          <w:szCs w:val="21"/>
          <w:u w:val="single"/>
        </w:rPr>
        <w:t>（采购文件中明确的所属行业）</w:t>
      </w:r>
      <w:r>
        <w:rPr>
          <w:rFonts w:hint="eastAsia" w:ascii="宋体" w:hAnsi="宋体"/>
          <w:szCs w:val="21"/>
        </w:rPr>
        <w:t>；承建</w:t>
      </w:r>
      <w:r>
        <w:rPr>
          <w:rFonts w:ascii="宋体" w:hAnsi="宋体"/>
          <w:szCs w:val="21"/>
        </w:rPr>
        <w:t>(承接)企业为</w:t>
      </w:r>
      <w:r>
        <w:rPr>
          <w:rFonts w:hint="eastAsia" w:ascii="宋体" w:hAnsi="宋体"/>
          <w:szCs w:val="21"/>
          <w:u w:val="single"/>
        </w:rPr>
        <w:t>（企业名称）</w:t>
      </w:r>
      <w:r>
        <w:rPr>
          <w:rFonts w:ascii="宋体" w:hAnsi="宋体"/>
          <w:szCs w:val="21"/>
        </w:rPr>
        <w:t>,从业人员</w:t>
      </w:r>
      <w:r>
        <w:rPr>
          <w:rFonts w:ascii="宋体" w:hAnsi="宋体"/>
          <w:szCs w:val="21"/>
          <w:u w:val="single"/>
        </w:rPr>
        <w:t xml:space="preserve">      </w:t>
      </w:r>
      <w:r>
        <w:rPr>
          <w:rFonts w:hint="eastAsia" w:ascii="宋体" w:hAnsi="宋体"/>
          <w:szCs w:val="21"/>
        </w:rPr>
        <w:t>人，营业收入为</w:t>
      </w:r>
      <w:r>
        <w:rPr>
          <w:rFonts w:ascii="宋体" w:hAnsi="宋体"/>
          <w:szCs w:val="21"/>
          <w:u w:val="single"/>
        </w:rPr>
        <w:t xml:space="preserve">      </w:t>
      </w:r>
      <w:r>
        <w:rPr>
          <w:rFonts w:hint="eastAsia" w:ascii="宋体" w:hAnsi="宋体"/>
          <w:szCs w:val="21"/>
        </w:rPr>
        <w:t>万元，资产总额为</w:t>
      </w:r>
      <w:r>
        <w:rPr>
          <w:rFonts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0824F5F9">
      <w:pPr>
        <w:widowControl/>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u w:val="single"/>
        </w:rPr>
        <w:t>（工程名称）</w:t>
      </w:r>
      <w:r>
        <w:rPr>
          <w:rFonts w:ascii="宋体" w:hAnsi="宋体"/>
          <w:szCs w:val="21"/>
        </w:rPr>
        <w:t>,属于</w:t>
      </w:r>
      <w:r>
        <w:rPr>
          <w:rFonts w:hint="eastAsia" w:ascii="宋体" w:hAnsi="宋体"/>
          <w:szCs w:val="21"/>
          <w:u w:val="single"/>
        </w:rPr>
        <w:t>（采购文件中明确的所属行业）</w:t>
      </w:r>
      <w:r>
        <w:rPr>
          <w:rFonts w:hint="eastAsia" w:ascii="宋体" w:hAnsi="宋体"/>
          <w:szCs w:val="21"/>
        </w:rPr>
        <w:t>；承建</w:t>
      </w:r>
      <w:r>
        <w:rPr>
          <w:rFonts w:ascii="宋体" w:hAnsi="宋体"/>
          <w:szCs w:val="21"/>
        </w:rPr>
        <w:t>(承接)企业为</w:t>
      </w:r>
      <w:r>
        <w:rPr>
          <w:rFonts w:hint="eastAsia" w:ascii="宋体" w:hAnsi="宋体"/>
          <w:szCs w:val="21"/>
          <w:u w:val="single"/>
        </w:rPr>
        <w:t>（企业名称）</w:t>
      </w:r>
      <w:r>
        <w:rPr>
          <w:rFonts w:ascii="宋体" w:hAnsi="宋体"/>
          <w:szCs w:val="21"/>
        </w:rPr>
        <w:t>,从业人员</w:t>
      </w:r>
      <w:r>
        <w:rPr>
          <w:rFonts w:ascii="宋体" w:hAnsi="宋体"/>
          <w:szCs w:val="21"/>
          <w:u w:val="single"/>
        </w:rPr>
        <w:t xml:space="preserve">      </w:t>
      </w:r>
      <w:r>
        <w:rPr>
          <w:rFonts w:hint="eastAsia" w:ascii="宋体" w:hAnsi="宋体"/>
          <w:szCs w:val="21"/>
        </w:rPr>
        <w:t>人，营业收入为</w:t>
      </w:r>
      <w:r>
        <w:rPr>
          <w:rFonts w:ascii="宋体" w:hAnsi="宋体"/>
          <w:szCs w:val="21"/>
          <w:u w:val="single"/>
        </w:rPr>
        <w:t xml:space="preserve">      </w:t>
      </w:r>
      <w:r>
        <w:rPr>
          <w:rFonts w:hint="eastAsia" w:ascii="宋体" w:hAnsi="宋体"/>
          <w:szCs w:val="21"/>
        </w:rPr>
        <w:t>万元，资产总额为</w:t>
      </w:r>
      <w:r>
        <w:rPr>
          <w:rFonts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14:paraId="0C18D8F4">
      <w:pPr>
        <w:widowControl/>
        <w:spacing w:line="360" w:lineRule="auto"/>
        <w:ind w:firstLine="420" w:firstLineChars="200"/>
        <w:jc w:val="left"/>
        <w:rPr>
          <w:rFonts w:ascii="宋体" w:hAnsi="宋体"/>
          <w:szCs w:val="21"/>
        </w:rPr>
      </w:pPr>
      <w:r>
        <w:rPr>
          <w:rFonts w:hint="eastAsia" w:ascii="宋体" w:hAnsi="宋体"/>
          <w:szCs w:val="21"/>
        </w:rPr>
        <w:t>……</w:t>
      </w:r>
    </w:p>
    <w:p w14:paraId="2AC0BA69">
      <w:pPr>
        <w:widowControl/>
        <w:spacing w:line="360" w:lineRule="auto"/>
        <w:ind w:firstLine="420" w:firstLineChars="200"/>
        <w:jc w:val="left"/>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0A0D1443">
      <w:pPr>
        <w:widowControl/>
        <w:spacing w:line="360" w:lineRule="auto"/>
        <w:ind w:firstLine="420" w:firstLineChars="200"/>
        <w:jc w:val="left"/>
        <w:rPr>
          <w:rFonts w:ascii="宋体" w:hAnsi="宋体"/>
          <w:szCs w:val="21"/>
        </w:rPr>
      </w:pPr>
      <w:r>
        <w:rPr>
          <w:rFonts w:hint="eastAsia" w:ascii="宋体" w:hAnsi="宋体"/>
          <w:szCs w:val="21"/>
        </w:rPr>
        <w:t>本企业对上述声明内容的真实性负责。如有虚假，将依法承担相应责任。</w:t>
      </w:r>
    </w:p>
    <w:p w14:paraId="40B4A28D">
      <w:pPr>
        <w:widowControl/>
        <w:spacing w:line="360" w:lineRule="auto"/>
        <w:jc w:val="left"/>
        <w:rPr>
          <w:rFonts w:ascii="宋体" w:hAnsi="宋体"/>
          <w:szCs w:val="21"/>
        </w:rPr>
      </w:pPr>
    </w:p>
    <w:p w14:paraId="57962C18">
      <w:pPr>
        <w:spacing w:line="360" w:lineRule="auto"/>
        <w:ind w:firstLine="525" w:firstLineChars="250"/>
      </w:pPr>
      <w:r>
        <w:t xml:space="preserve">                                </w:t>
      </w:r>
      <w:r>
        <w:rPr>
          <w:rFonts w:hint="eastAsia"/>
          <w:lang w:eastAsia="zh-CN"/>
        </w:rPr>
        <w:t>竞包人</w:t>
      </w:r>
      <w:r>
        <w:rPr>
          <w:rFonts w:hint="eastAsia"/>
        </w:rPr>
        <w:t>：</w:t>
      </w:r>
      <w:r>
        <w:t>_______________________</w:t>
      </w:r>
      <w:r>
        <w:rPr>
          <w:rFonts w:hint="eastAsia"/>
        </w:rPr>
        <w:t>（盖单位电子印章）</w:t>
      </w:r>
    </w:p>
    <w:p w14:paraId="7681A697">
      <w:pPr>
        <w:spacing w:line="360" w:lineRule="auto"/>
        <w:ind w:firstLine="525" w:firstLineChars="250"/>
      </w:pPr>
      <w:r>
        <w:t xml:space="preserve">                                </w:t>
      </w:r>
      <w:r>
        <w:rPr>
          <w:rFonts w:hint="eastAsia"/>
        </w:rPr>
        <w:t>法定代表人：</w:t>
      </w:r>
      <w:r>
        <w:t>_______________</w:t>
      </w:r>
      <w:r>
        <w:rPr>
          <w:rFonts w:hint="eastAsia"/>
        </w:rPr>
        <w:t>（盖法定代表人电子章）</w:t>
      </w:r>
    </w:p>
    <w:p w14:paraId="4041B9E8">
      <w:pPr>
        <w:spacing w:line="360" w:lineRule="auto"/>
        <w:ind w:firstLine="525" w:firstLineChars="250"/>
      </w:pPr>
      <w:r>
        <w:t xml:space="preserve">                                          ________</w:t>
      </w:r>
      <w:r>
        <w:rPr>
          <w:rFonts w:hint="eastAsia"/>
        </w:rPr>
        <w:t>年</w:t>
      </w:r>
      <w:r>
        <w:t>____</w:t>
      </w:r>
      <w:r>
        <w:rPr>
          <w:rFonts w:hint="eastAsia"/>
        </w:rPr>
        <w:t>月</w:t>
      </w:r>
      <w:r>
        <w:t>____</w:t>
      </w:r>
      <w:r>
        <w:rPr>
          <w:rFonts w:hint="eastAsia"/>
        </w:rPr>
        <w:t>日</w:t>
      </w:r>
    </w:p>
    <w:p w14:paraId="15653A97">
      <w:pPr>
        <w:widowControl/>
        <w:spacing w:line="360" w:lineRule="auto"/>
        <w:jc w:val="left"/>
        <w:rPr>
          <w:rFonts w:ascii="宋体" w:hAnsi="宋体"/>
          <w:szCs w:val="21"/>
        </w:rPr>
      </w:pPr>
      <w:r>
        <w:rPr>
          <w:rFonts w:ascii="宋体" w:hAnsi="宋体"/>
          <w:szCs w:val="21"/>
        </w:rPr>
        <w:br w:type="page"/>
      </w:r>
    </w:p>
    <w:p w14:paraId="45C9EA28">
      <w:pPr>
        <w:spacing w:line="360" w:lineRule="auto"/>
        <w:jc w:val="center"/>
      </w:pPr>
    </w:p>
    <w:p w14:paraId="5A076F7D">
      <w:pPr>
        <w:pStyle w:val="6"/>
        <w:jc w:val="center"/>
        <w:rPr>
          <w:sz w:val="28"/>
          <w:szCs w:val="28"/>
        </w:rPr>
      </w:pPr>
      <w:bookmarkStart w:id="476" w:name="_Toc12586"/>
      <w:bookmarkStart w:id="477" w:name="_Toc154675226"/>
      <w:r>
        <w:rPr>
          <w:rFonts w:hint="eastAsia"/>
          <w:sz w:val="28"/>
          <w:szCs w:val="28"/>
        </w:rPr>
        <w:t>（</w:t>
      </w:r>
      <w:r>
        <w:rPr>
          <w:rFonts w:hint="eastAsia"/>
          <w:sz w:val="28"/>
          <w:szCs w:val="28"/>
          <w:lang w:val="en-US" w:eastAsia="zh-CN"/>
        </w:rPr>
        <w:t>二</w:t>
      </w:r>
      <w:r>
        <w:rPr>
          <w:rFonts w:hint="eastAsia"/>
          <w:sz w:val="28"/>
          <w:szCs w:val="28"/>
        </w:rPr>
        <w:t>）拟委任的项目经理资历表</w:t>
      </w:r>
      <w:bookmarkEnd w:id="476"/>
      <w:bookmarkEnd w:id="477"/>
    </w:p>
    <w:p w14:paraId="6E3369EA">
      <w:pPr>
        <w:spacing w:line="360" w:lineRule="auto"/>
      </w:pPr>
    </w:p>
    <w:tbl>
      <w:tblPr>
        <w:tblStyle w:val="44"/>
        <w:tblW w:w="918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353"/>
        <w:gridCol w:w="207"/>
        <w:gridCol w:w="1170"/>
        <w:gridCol w:w="1365"/>
        <w:gridCol w:w="480"/>
        <w:gridCol w:w="1456"/>
        <w:gridCol w:w="164"/>
        <w:gridCol w:w="1620"/>
      </w:tblGrid>
      <w:tr w14:paraId="2CA27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365" w:type="dxa"/>
            <w:vAlign w:val="center"/>
          </w:tcPr>
          <w:p w14:paraId="08FCA1BF">
            <w:pPr>
              <w:spacing w:line="360" w:lineRule="auto"/>
              <w:jc w:val="center"/>
            </w:pPr>
            <w:r>
              <w:rPr>
                <w:rFonts w:hint="eastAsia"/>
              </w:rPr>
              <w:t>姓</w:t>
            </w:r>
            <w:r>
              <w:t xml:space="preserve">  </w:t>
            </w:r>
            <w:r>
              <w:rPr>
                <w:rFonts w:hint="eastAsia"/>
              </w:rPr>
              <w:t>名</w:t>
            </w:r>
          </w:p>
        </w:tc>
        <w:tc>
          <w:tcPr>
            <w:tcW w:w="1560" w:type="dxa"/>
            <w:gridSpan w:val="2"/>
            <w:vAlign w:val="center"/>
          </w:tcPr>
          <w:p w14:paraId="606BAE33">
            <w:pPr>
              <w:spacing w:line="360" w:lineRule="auto"/>
              <w:jc w:val="center"/>
            </w:pPr>
          </w:p>
        </w:tc>
        <w:tc>
          <w:tcPr>
            <w:tcW w:w="1170" w:type="dxa"/>
            <w:vAlign w:val="center"/>
          </w:tcPr>
          <w:p w14:paraId="06B7C70C">
            <w:pPr>
              <w:spacing w:line="360" w:lineRule="auto"/>
              <w:jc w:val="center"/>
            </w:pPr>
            <w:r>
              <w:rPr>
                <w:rFonts w:hint="eastAsia"/>
              </w:rPr>
              <w:t>年</w:t>
            </w:r>
            <w:r>
              <w:t xml:space="preserve">  </w:t>
            </w:r>
            <w:r>
              <w:rPr>
                <w:rFonts w:hint="eastAsia"/>
              </w:rPr>
              <w:t>龄</w:t>
            </w:r>
          </w:p>
        </w:tc>
        <w:tc>
          <w:tcPr>
            <w:tcW w:w="1365" w:type="dxa"/>
            <w:vAlign w:val="center"/>
          </w:tcPr>
          <w:p w14:paraId="3412AD6D">
            <w:pPr>
              <w:spacing w:line="360" w:lineRule="auto"/>
              <w:jc w:val="center"/>
            </w:pPr>
          </w:p>
        </w:tc>
        <w:tc>
          <w:tcPr>
            <w:tcW w:w="1936" w:type="dxa"/>
            <w:gridSpan w:val="2"/>
            <w:vAlign w:val="center"/>
          </w:tcPr>
          <w:p w14:paraId="451CB0E5">
            <w:pPr>
              <w:spacing w:line="360" w:lineRule="auto"/>
              <w:jc w:val="center"/>
            </w:pPr>
            <w:r>
              <w:rPr>
                <w:rFonts w:hint="eastAsia"/>
              </w:rPr>
              <w:t>专</w:t>
            </w:r>
            <w:r>
              <w:t xml:space="preserve">  </w:t>
            </w:r>
            <w:r>
              <w:rPr>
                <w:rFonts w:hint="eastAsia"/>
              </w:rPr>
              <w:t>业</w:t>
            </w:r>
          </w:p>
        </w:tc>
        <w:tc>
          <w:tcPr>
            <w:tcW w:w="1784" w:type="dxa"/>
            <w:gridSpan w:val="2"/>
            <w:vAlign w:val="center"/>
          </w:tcPr>
          <w:p w14:paraId="7D7C1DFC">
            <w:pPr>
              <w:spacing w:line="360" w:lineRule="auto"/>
              <w:jc w:val="center"/>
            </w:pPr>
          </w:p>
        </w:tc>
      </w:tr>
      <w:tr w14:paraId="59F0E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365" w:type="dxa"/>
            <w:vAlign w:val="center"/>
          </w:tcPr>
          <w:p w14:paraId="2E05E66C">
            <w:pPr>
              <w:spacing w:line="360" w:lineRule="auto"/>
              <w:jc w:val="center"/>
            </w:pPr>
            <w:r>
              <w:rPr>
                <w:rFonts w:hint="eastAsia"/>
              </w:rPr>
              <w:t>技术职称</w:t>
            </w:r>
          </w:p>
        </w:tc>
        <w:tc>
          <w:tcPr>
            <w:tcW w:w="1560" w:type="dxa"/>
            <w:gridSpan w:val="2"/>
            <w:vAlign w:val="center"/>
          </w:tcPr>
          <w:p w14:paraId="5E0FA716">
            <w:pPr>
              <w:spacing w:line="360" w:lineRule="auto"/>
              <w:jc w:val="center"/>
            </w:pPr>
          </w:p>
        </w:tc>
        <w:tc>
          <w:tcPr>
            <w:tcW w:w="1170" w:type="dxa"/>
            <w:vAlign w:val="center"/>
          </w:tcPr>
          <w:p w14:paraId="000632DD">
            <w:pPr>
              <w:spacing w:line="360" w:lineRule="auto"/>
              <w:jc w:val="center"/>
            </w:pPr>
            <w:r>
              <w:rPr>
                <w:rFonts w:hint="eastAsia"/>
              </w:rPr>
              <w:t>学历</w:t>
            </w:r>
          </w:p>
        </w:tc>
        <w:tc>
          <w:tcPr>
            <w:tcW w:w="1365" w:type="dxa"/>
            <w:vAlign w:val="center"/>
          </w:tcPr>
          <w:p w14:paraId="75D2FA10">
            <w:pPr>
              <w:spacing w:line="360" w:lineRule="auto"/>
              <w:jc w:val="center"/>
            </w:pPr>
          </w:p>
        </w:tc>
        <w:tc>
          <w:tcPr>
            <w:tcW w:w="1936" w:type="dxa"/>
            <w:gridSpan w:val="2"/>
            <w:vAlign w:val="center"/>
          </w:tcPr>
          <w:p w14:paraId="2246597D">
            <w:pPr>
              <w:spacing w:line="360" w:lineRule="auto"/>
              <w:jc w:val="center"/>
            </w:pPr>
            <w:r>
              <w:rPr>
                <w:rFonts w:hint="eastAsia"/>
              </w:rPr>
              <w:t>拟在本标段</w:t>
            </w:r>
          </w:p>
          <w:p w14:paraId="502FB67F">
            <w:pPr>
              <w:spacing w:line="360" w:lineRule="auto"/>
              <w:jc w:val="center"/>
            </w:pPr>
            <w:r>
              <w:rPr>
                <w:rFonts w:hint="eastAsia"/>
              </w:rPr>
              <w:t>工程担任职务</w:t>
            </w:r>
          </w:p>
        </w:tc>
        <w:tc>
          <w:tcPr>
            <w:tcW w:w="1784" w:type="dxa"/>
            <w:gridSpan w:val="2"/>
            <w:vAlign w:val="center"/>
          </w:tcPr>
          <w:p w14:paraId="5F1EF656">
            <w:pPr>
              <w:spacing w:line="360" w:lineRule="auto"/>
              <w:jc w:val="center"/>
            </w:pPr>
          </w:p>
        </w:tc>
      </w:tr>
      <w:tr w14:paraId="6A231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365" w:type="dxa"/>
            <w:vAlign w:val="center"/>
          </w:tcPr>
          <w:p w14:paraId="0EAB2A86">
            <w:pPr>
              <w:spacing w:line="360" w:lineRule="auto"/>
              <w:jc w:val="center"/>
            </w:pPr>
            <w:r>
              <w:rPr>
                <w:rFonts w:hint="eastAsia"/>
              </w:rPr>
              <w:t>工作年限</w:t>
            </w:r>
          </w:p>
        </w:tc>
        <w:tc>
          <w:tcPr>
            <w:tcW w:w="4095" w:type="dxa"/>
            <w:gridSpan w:val="4"/>
            <w:vAlign w:val="center"/>
          </w:tcPr>
          <w:p w14:paraId="78F59EF6">
            <w:pPr>
              <w:spacing w:line="360" w:lineRule="auto"/>
              <w:jc w:val="center"/>
            </w:pPr>
          </w:p>
        </w:tc>
        <w:tc>
          <w:tcPr>
            <w:tcW w:w="1936" w:type="dxa"/>
            <w:gridSpan w:val="2"/>
            <w:vAlign w:val="center"/>
          </w:tcPr>
          <w:p w14:paraId="64C3975D">
            <w:pPr>
              <w:spacing w:line="360" w:lineRule="auto"/>
              <w:jc w:val="center"/>
            </w:pPr>
            <w:r>
              <w:rPr>
                <w:rFonts w:hint="eastAsia"/>
              </w:rPr>
              <w:t>类似施工经验年限</w:t>
            </w:r>
          </w:p>
        </w:tc>
        <w:tc>
          <w:tcPr>
            <w:tcW w:w="1784" w:type="dxa"/>
            <w:gridSpan w:val="2"/>
            <w:vAlign w:val="center"/>
          </w:tcPr>
          <w:p w14:paraId="46E27A0E">
            <w:pPr>
              <w:spacing w:line="360" w:lineRule="auto"/>
              <w:jc w:val="center"/>
            </w:pPr>
          </w:p>
        </w:tc>
      </w:tr>
      <w:tr w14:paraId="74478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1365" w:type="dxa"/>
            <w:vAlign w:val="center"/>
          </w:tcPr>
          <w:p w14:paraId="0B95B6D1">
            <w:pPr>
              <w:spacing w:line="360" w:lineRule="auto"/>
              <w:jc w:val="center"/>
            </w:pPr>
            <w:r>
              <w:rPr>
                <w:rFonts w:hint="eastAsia"/>
              </w:rPr>
              <w:t>毕业学校</w:t>
            </w:r>
          </w:p>
        </w:tc>
        <w:tc>
          <w:tcPr>
            <w:tcW w:w="7815" w:type="dxa"/>
            <w:gridSpan w:val="8"/>
            <w:vAlign w:val="center"/>
          </w:tcPr>
          <w:p w14:paraId="40495D8F">
            <w:pPr>
              <w:spacing w:line="360" w:lineRule="auto"/>
            </w:pPr>
            <w:r>
              <w:rPr>
                <w:u w:val="single"/>
              </w:rPr>
              <w:t xml:space="preserve">      </w:t>
            </w:r>
            <w:r>
              <w:rPr>
                <w:rFonts w:hint="eastAsia"/>
              </w:rPr>
              <w:t>年</w:t>
            </w:r>
            <w:r>
              <w:rPr>
                <w:u w:val="single"/>
              </w:rPr>
              <w:t xml:space="preserve">      </w:t>
            </w:r>
            <w:r>
              <w:rPr>
                <w:rFonts w:hint="eastAsia"/>
              </w:rPr>
              <w:t>月毕业于</w:t>
            </w:r>
            <w:r>
              <w:rPr>
                <w:u w:val="single"/>
              </w:rPr>
              <w:t xml:space="preserve">               </w:t>
            </w:r>
            <w:r>
              <w:rPr>
                <w:rFonts w:hint="eastAsia"/>
              </w:rPr>
              <w:t>学校</w:t>
            </w:r>
            <w:r>
              <w:rPr>
                <w:u w:val="single"/>
              </w:rPr>
              <w:t xml:space="preserve">        </w:t>
            </w:r>
            <w:r>
              <w:rPr>
                <w:rFonts w:hint="eastAsia"/>
              </w:rPr>
              <w:t>专业，学制</w:t>
            </w:r>
            <w:r>
              <w:rPr>
                <w:u w:val="single"/>
              </w:rPr>
              <w:t xml:space="preserve">      </w:t>
            </w:r>
            <w:r>
              <w:rPr>
                <w:rFonts w:hint="eastAsia"/>
              </w:rPr>
              <w:t>年</w:t>
            </w:r>
          </w:p>
        </w:tc>
      </w:tr>
      <w:tr w14:paraId="4F1A3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9180" w:type="dxa"/>
            <w:gridSpan w:val="9"/>
            <w:vAlign w:val="center"/>
          </w:tcPr>
          <w:p w14:paraId="365837F0">
            <w:pPr>
              <w:spacing w:line="360" w:lineRule="auto"/>
              <w:jc w:val="center"/>
            </w:pPr>
            <w:r>
              <w:rPr>
                <w:rFonts w:hint="eastAsia"/>
              </w:rPr>
              <w:t>经</w:t>
            </w:r>
            <w:r>
              <w:t xml:space="preserve">       </w:t>
            </w:r>
            <w:r>
              <w:rPr>
                <w:rFonts w:hint="eastAsia"/>
              </w:rPr>
              <w:t>历</w:t>
            </w:r>
          </w:p>
        </w:tc>
      </w:tr>
      <w:tr w14:paraId="7734C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1365" w:type="dxa"/>
            <w:vAlign w:val="center"/>
          </w:tcPr>
          <w:p w14:paraId="3B799DEE">
            <w:pPr>
              <w:spacing w:line="360" w:lineRule="auto"/>
              <w:jc w:val="center"/>
            </w:pPr>
            <w:r>
              <w:rPr>
                <w:rFonts w:hint="eastAsia"/>
              </w:rPr>
              <w:t>时间</w:t>
            </w:r>
          </w:p>
        </w:tc>
        <w:tc>
          <w:tcPr>
            <w:tcW w:w="4575" w:type="dxa"/>
            <w:gridSpan w:val="5"/>
            <w:vAlign w:val="center"/>
          </w:tcPr>
          <w:p w14:paraId="1666B768">
            <w:pPr>
              <w:spacing w:line="360" w:lineRule="auto"/>
              <w:jc w:val="center"/>
            </w:pPr>
            <w:r>
              <w:rPr>
                <w:rFonts w:hint="eastAsia"/>
              </w:rPr>
              <w:t>参加过的类似工程项目名称</w:t>
            </w:r>
          </w:p>
        </w:tc>
        <w:tc>
          <w:tcPr>
            <w:tcW w:w="1620" w:type="dxa"/>
            <w:gridSpan w:val="2"/>
            <w:vAlign w:val="center"/>
          </w:tcPr>
          <w:p w14:paraId="5779BA42">
            <w:pPr>
              <w:spacing w:line="360" w:lineRule="auto"/>
              <w:jc w:val="center"/>
            </w:pPr>
            <w:r>
              <w:rPr>
                <w:rFonts w:hint="eastAsia"/>
              </w:rPr>
              <w:t>担任职务</w:t>
            </w:r>
          </w:p>
        </w:tc>
        <w:tc>
          <w:tcPr>
            <w:tcW w:w="1620" w:type="dxa"/>
            <w:vAlign w:val="center"/>
          </w:tcPr>
          <w:p w14:paraId="0D698CF9">
            <w:pPr>
              <w:spacing w:line="360" w:lineRule="auto"/>
              <w:jc w:val="center"/>
            </w:pPr>
            <w:r>
              <w:rPr>
                <w:rFonts w:hint="eastAsia"/>
              </w:rPr>
              <w:t>发包人及</w:t>
            </w:r>
          </w:p>
          <w:p w14:paraId="4A54B6DC">
            <w:pPr>
              <w:spacing w:line="360" w:lineRule="auto"/>
              <w:jc w:val="center"/>
            </w:pPr>
            <w:r>
              <w:rPr>
                <w:rFonts w:hint="eastAsia"/>
              </w:rPr>
              <w:t>联系电话</w:t>
            </w:r>
          </w:p>
        </w:tc>
      </w:tr>
      <w:tr w14:paraId="7D0FB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65" w:type="dxa"/>
            <w:tcBorders>
              <w:bottom w:val="single" w:color="auto" w:sz="4" w:space="0"/>
            </w:tcBorders>
            <w:vAlign w:val="center"/>
          </w:tcPr>
          <w:p w14:paraId="1A3D07A3">
            <w:pPr>
              <w:spacing w:line="360" w:lineRule="auto"/>
              <w:jc w:val="center"/>
            </w:pPr>
          </w:p>
        </w:tc>
        <w:tc>
          <w:tcPr>
            <w:tcW w:w="4575" w:type="dxa"/>
            <w:gridSpan w:val="5"/>
            <w:tcBorders>
              <w:bottom w:val="single" w:color="auto" w:sz="4" w:space="0"/>
            </w:tcBorders>
            <w:vAlign w:val="center"/>
          </w:tcPr>
          <w:p w14:paraId="105CF437">
            <w:pPr>
              <w:spacing w:line="360" w:lineRule="auto"/>
            </w:pPr>
          </w:p>
        </w:tc>
        <w:tc>
          <w:tcPr>
            <w:tcW w:w="1620" w:type="dxa"/>
            <w:gridSpan w:val="2"/>
            <w:tcBorders>
              <w:bottom w:val="single" w:color="auto" w:sz="4" w:space="0"/>
            </w:tcBorders>
            <w:vAlign w:val="center"/>
          </w:tcPr>
          <w:p w14:paraId="6B172B29">
            <w:pPr>
              <w:spacing w:line="360" w:lineRule="auto"/>
            </w:pPr>
          </w:p>
        </w:tc>
        <w:tc>
          <w:tcPr>
            <w:tcW w:w="1620" w:type="dxa"/>
            <w:tcBorders>
              <w:bottom w:val="single" w:color="auto" w:sz="4" w:space="0"/>
            </w:tcBorders>
            <w:vAlign w:val="center"/>
          </w:tcPr>
          <w:p w14:paraId="34404F92">
            <w:pPr>
              <w:spacing w:line="360" w:lineRule="auto"/>
              <w:jc w:val="center"/>
            </w:pPr>
          </w:p>
        </w:tc>
      </w:tr>
      <w:tr w14:paraId="34F7B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65" w:type="dxa"/>
            <w:tcBorders>
              <w:top w:val="single" w:color="auto" w:sz="4" w:space="0"/>
              <w:bottom w:val="single" w:color="auto" w:sz="4" w:space="0"/>
            </w:tcBorders>
            <w:vAlign w:val="center"/>
          </w:tcPr>
          <w:p w14:paraId="302A8BAB">
            <w:pPr>
              <w:spacing w:line="360" w:lineRule="auto"/>
              <w:jc w:val="center"/>
            </w:pPr>
          </w:p>
        </w:tc>
        <w:tc>
          <w:tcPr>
            <w:tcW w:w="4575" w:type="dxa"/>
            <w:gridSpan w:val="5"/>
            <w:tcBorders>
              <w:top w:val="single" w:color="auto" w:sz="4" w:space="0"/>
              <w:bottom w:val="single" w:color="auto" w:sz="4" w:space="0"/>
            </w:tcBorders>
            <w:vAlign w:val="center"/>
          </w:tcPr>
          <w:p w14:paraId="724D975C">
            <w:pPr>
              <w:spacing w:line="360" w:lineRule="auto"/>
            </w:pPr>
          </w:p>
        </w:tc>
        <w:tc>
          <w:tcPr>
            <w:tcW w:w="1620" w:type="dxa"/>
            <w:gridSpan w:val="2"/>
            <w:tcBorders>
              <w:top w:val="single" w:color="auto" w:sz="4" w:space="0"/>
              <w:bottom w:val="single" w:color="auto" w:sz="4" w:space="0"/>
            </w:tcBorders>
            <w:vAlign w:val="center"/>
          </w:tcPr>
          <w:p w14:paraId="43C6CCE6">
            <w:pPr>
              <w:spacing w:line="360" w:lineRule="auto"/>
              <w:jc w:val="center"/>
            </w:pPr>
          </w:p>
        </w:tc>
        <w:tc>
          <w:tcPr>
            <w:tcW w:w="1620" w:type="dxa"/>
            <w:tcBorders>
              <w:top w:val="single" w:color="auto" w:sz="4" w:space="0"/>
              <w:bottom w:val="single" w:color="auto" w:sz="4" w:space="0"/>
            </w:tcBorders>
            <w:vAlign w:val="center"/>
          </w:tcPr>
          <w:p w14:paraId="0E40B0B5">
            <w:pPr>
              <w:spacing w:line="360" w:lineRule="auto"/>
              <w:jc w:val="center"/>
            </w:pPr>
          </w:p>
        </w:tc>
      </w:tr>
      <w:tr w14:paraId="37D2C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65" w:type="dxa"/>
            <w:tcBorders>
              <w:top w:val="single" w:color="auto" w:sz="4" w:space="0"/>
              <w:bottom w:val="single" w:color="auto" w:sz="4" w:space="0"/>
            </w:tcBorders>
            <w:vAlign w:val="center"/>
          </w:tcPr>
          <w:p w14:paraId="63B625F0">
            <w:pPr>
              <w:spacing w:line="360" w:lineRule="auto"/>
              <w:jc w:val="center"/>
            </w:pPr>
          </w:p>
        </w:tc>
        <w:tc>
          <w:tcPr>
            <w:tcW w:w="4575" w:type="dxa"/>
            <w:gridSpan w:val="5"/>
            <w:tcBorders>
              <w:top w:val="single" w:color="auto" w:sz="4" w:space="0"/>
              <w:bottom w:val="single" w:color="auto" w:sz="4" w:space="0"/>
            </w:tcBorders>
            <w:vAlign w:val="center"/>
          </w:tcPr>
          <w:p w14:paraId="2018E6EB">
            <w:pPr>
              <w:spacing w:line="360" w:lineRule="auto"/>
            </w:pPr>
          </w:p>
        </w:tc>
        <w:tc>
          <w:tcPr>
            <w:tcW w:w="1620" w:type="dxa"/>
            <w:gridSpan w:val="2"/>
            <w:tcBorders>
              <w:top w:val="single" w:color="auto" w:sz="4" w:space="0"/>
              <w:bottom w:val="single" w:color="auto" w:sz="4" w:space="0"/>
            </w:tcBorders>
            <w:vAlign w:val="center"/>
          </w:tcPr>
          <w:p w14:paraId="64340CB6">
            <w:pPr>
              <w:spacing w:line="360" w:lineRule="auto"/>
              <w:jc w:val="center"/>
            </w:pPr>
          </w:p>
        </w:tc>
        <w:tc>
          <w:tcPr>
            <w:tcW w:w="1620" w:type="dxa"/>
            <w:tcBorders>
              <w:top w:val="single" w:color="auto" w:sz="4" w:space="0"/>
              <w:bottom w:val="single" w:color="auto" w:sz="4" w:space="0"/>
            </w:tcBorders>
            <w:vAlign w:val="center"/>
          </w:tcPr>
          <w:p w14:paraId="0F773F8F">
            <w:pPr>
              <w:spacing w:line="360" w:lineRule="auto"/>
              <w:jc w:val="center"/>
            </w:pPr>
          </w:p>
        </w:tc>
      </w:tr>
      <w:tr w14:paraId="05302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65" w:type="dxa"/>
            <w:tcBorders>
              <w:top w:val="single" w:color="auto" w:sz="4" w:space="0"/>
              <w:bottom w:val="single" w:color="auto" w:sz="4" w:space="0"/>
            </w:tcBorders>
            <w:vAlign w:val="center"/>
          </w:tcPr>
          <w:p w14:paraId="1850896D">
            <w:pPr>
              <w:spacing w:line="360" w:lineRule="auto"/>
              <w:jc w:val="center"/>
            </w:pPr>
          </w:p>
        </w:tc>
        <w:tc>
          <w:tcPr>
            <w:tcW w:w="4575" w:type="dxa"/>
            <w:gridSpan w:val="5"/>
            <w:tcBorders>
              <w:top w:val="single" w:color="auto" w:sz="4" w:space="0"/>
              <w:bottom w:val="single" w:color="auto" w:sz="4" w:space="0"/>
            </w:tcBorders>
            <w:vAlign w:val="center"/>
          </w:tcPr>
          <w:p w14:paraId="104F055B">
            <w:pPr>
              <w:spacing w:line="360" w:lineRule="auto"/>
            </w:pPr>
          </w:p>
        </w:tc>
        <w:tc>
          <w:tcPr>
            <w:tcW w:w="1620" w:type="dxa"/>
            <w:gridSpan w:val="2"/>
            <w:tcBorders>
              <w:top w:val="single" w:color="auto" w:sz="4" w:space="0"/>
              <w:bottom w:val="single" w:color="auto" w:sz="4" w:space="0"/>
            </w:tcBorders>
            <w:vAlign w:val="center"/>
          </w:tcPr>
          <w:p w14:paraId="1B78D8B7">
            <w:pPr>
              <w:spacing w:line="360" w:lineRule="auto"/>
              <w:jc w:val="center"/>
            </w:pPr>
          </w:p>
        </w:tc>
        <w:tc>
          <w:tcPr>
            <w:tcW w:w="1620" w:type="dxa"/>
            <w:tcBorders>
              <w:top w:val="single" w:color="auto" w:sz="4" w:space="0"/>
              <w:bottom w:val="single" w:color="auto" w:sz="4" w:space="0"/>
            </w:tcBorders>
            <w:vAlign w:val="center"/>
          </w:tcPr>
          <w:p w14:paraId="6FADE096">
            <w:pPr>
              <w:spacing w:line="360" w:lineRule="auto"/>
              <w:jc w:val="center"/>
            </w:pPr>
          </w:p>
        </w:tc>
      </w:tr>
      <w:tr w14:paraId="50AFB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365" w:type="dxa"/>
            <w:tcBorders>
              <w:top w:val="single" w:color="auto" w:sz="4" w:space="0"/>
              <w:bottom w:val="single" w:color="auto" w:sz="4" w:space="0"/>
            </w:tcBorders>
            <w:vAlign w:val="center"/>
          </w:tcPr>
          <w:p w14:paraId="3B84B66F">
            <w:pPr>
              <w:spacing w:line="360" w:lineRule="auto"/>
              <w:jc w:val="center"/>
            </w:pPr>
          </w:p>
        </w:tc>
        <w:tc>
          <w:tcPr>
            <w:tcW w:w="4575" w:type="dxa"/>
            <w:gridSpan w:val="5"/>
            <w:tcBorders>
              <w:top w:val="single" w:color="auto" w:sz="4" w:space="0"/>
              <w:bottom w:val="single" w:color="auto" w:sz="4" w:space="0"/>
            </w:tcBorders>
            <w:vAlign w:val="center"/>
          </w:tcPr>
          <w:p w14:paraId="205AD37C">
            <w:pPr>
              <w:spacing w:line="360" w:lineRule="auto"/>
            </w:pPr>
          </w:p>
        </w:tc>
        <w:tc>
          <w:tcPr>
            <w:tcW w:w="1620" w:type="dxa"/>
            <w:gridSpan w:val="2"/>
            <w:tcBorders>
              <w:top w:val="single" w:color="auto" w:sz="4" w:space="0"/>
              <w:bottom w:val="single" w:color="auto" w:sz="4" w:space="0"/>
            </w:tcBorders>
            <w:vAlign w:val="center"/>
          </w:tcPr>
          <w:p w14:paraId="5014EB5B">
            <w:pPr>
              <w:spacing w:line="360" w:lineRule="auto"/>
            </w:pPr>
          </w:p>
        </w:tc>
        <w:tc>
          <w:tcPr>
            <w:tcW w:w="1620" w:type="dxa"/>
            <w:tcBorders>
              <w:top w:val="single" w:color="auto" w:sz="4" w:space="0"/>
              <w:bottom w:val="single" w:color="auto" w:sz="4" w:space="0"/>
            </w:tcBorders>
            <w:vAlign w:val="center"/>
          </w:tcPr>
          <w:p w14:paraId="50FCB428">
            <w:pPr>
              <w:spacing w:line="360" w:lineRule="auto"/>
              <w:jc w:val="center"/>
            </w:pPr>
          </w:p>
        </w:tc>
      </w:tr>
      <w:tr w14:paraId="4B26F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2718" w:type="dxa"/>
            <w:gridSpan w:val="2"/>
            <w:tcBorders>
              <w:top w:val="single" w:color="auto" w:sz="4" w:space="0"/>
              <w:bottom w:val="single" w:color="auto" w:sz="4" w:space="0"/>
              <w:right w:val="single" w:color="auto" w:sz="4" w:space="0"/>
            </w:tcBorders>
            <w:vAlign w:val="center"/>
          </w:tcPr>
          <w:p w14:paraId="19B44880">
            <w:pPr>
              <w:spacing w:line="360" w:lineRule="auto"/>
              <w:jc w:val="center"/>
            </w:pPr>
            <w:r>
              <w:rPr>
                <w:rFonts w:hint="eastAsia"/>
              </w:rPr>
              <w:t>获奖情况</w:t>
            </w:r>
          </w:p>
        </w:tc>
        <w:tc>
          <w:tcPr>
            <w:tcW w:w="6462" w:type="dxa"/>
            <w:gridSpan w:val="7"/>
            <w:tcBorders>
              <w:top w:val="single" w:color="auto" w:sz="4" w:space="0"/>
              <w:left w:val="single" w:color="auto" w:sz="4" w:space="0"/>
              <w:bottom w:val="single" w:color="auto" w:sz="4" w:space="0"/>
            </w:tcBorders>
            <w:vAlign w:val="center"/>
          </w:tcPr>
          <w:p w14:paraId="1F4B5C48">
            <w:pPr>
              <w:spacing w:line="360" w:lineRule="auto"/>
              <w:jc w:val="center"/>
            </w:pPr>
          </w:p>
          <w:p w14:paraId="09F52391">
            <w:pPr>
              <w:spacing w:line="360" w:lineRule="auto"/>
              <w:jc w:val="center"/>
            </w:pPr>
          </w:p>
        </w:tc>
      </w:tr>
      <w:tr w14:paraId="30B21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2718" w:type="dxa"/>
            <w:gridSpan w:val="2"/>
            <w:tcBorders>
              <w:top w:val="single" w:color="auto" w:sz="4" w:space="0"/>
              <w:bottom w:val="single" w:color="auto" w:sz="4" w:space="0"/>
              <w:right w:val="single" w:color="auto" w:sz="4" w:space="0"/>
            </w:tcBorders>
            <w:vAlign w:val="center"/>
          </w:tcPr>
          <w:p w14:paraId="6FBE97D7">
            <w:pPr>
              <w:spacing w:line="360" w:lineRule="auto"/>
              <w:jc w:val="center"/>
            </w:pPr>
            <w:r>
              <w:rPr>
                <w:rFonts w:hint="eastAsia"/>
              </w:rPr>
              <w:t>说明在岗情况</w:t>
            </w:r>
          </w:p>
        </w:tc>
        <w:tc>
          <w:tcPr>
            <w:tcW w:w="6462" w:type="dxa"/>
            <w:gridSpan w:val="7"/>
            <w:tcBorders>
              <w:top w:val="single" w:color="auto" w:sz="4" w:space="0"/>
              <w:left w:val="single" w:color="auto" w:sz="4" w:space="0"/>
              <w:bottom w:val="single" w:color="auto" w:sz="4" w:space="0"/>
            </w:tcBorders>
            <w:vAlign w:val="center"/>
          </w:tcPr>
          <w:p w14:paraId="4FBC9810">
            <w:pPr>
              <w:spacing w:line="360" w:lineRule="auto"/>
            </w:pPr>
            <w:r>
              <w:rPr>
                <w:rFonts w:ascii="宋体" w:hAnsi="宋体"/>
              </w:rPr>
              <w:t>□</w:t>
            </w:r>
            <w:r>
              <w:rPr>
                <w:rFonts w:hint="eastAsia"/>
              </w:rPr>
              <w:t>目前未在其他项目上任职，现从事工作为：</w:t>
            </w:r>
            <w:r>
              <w:t xml:space="preserve">              </w:t>
            </w:r>
            <w:r>
              <w:rPr>
                <w:rFonts w:hint="eastAsia"/>
              </w:rPr>
              <w:t>。</w:t>
            </w:r>
          </w:p>
          <w:p w14:paraId="1DD80D77">
            <w:pPr>
              <w:spacing w:line="360" w:lineRule="auto"/>
            </w:pPr>
            <w:r>
              <w:rPr>
                <w:rFonts w:ascii="宋体" w:hAnsi="宋体"/>
              </w:rPr>
              <w:t>□</w:t>
            </w:r>
            <w:r>
              <w:rPr>
                <w:rFonts w:hint="eastAsia"/>
              </w:rPr>
              <w:t>目前虽在其他项目上任职，但本项目</w:t>
            </w:r>
            <w:r>
              <w:rPr>
                <w:rFonts w:hint="eastAsia"/>
                <w:lang w:val="en-US" w:eastAsia="zh-CN"/>
              </w:rPr>
              <w:t>承包</w:t>
            </w:r>
            <w:r>
              <w:rPr>
                <w:rFonts w:hint="eastAsia"/>
              </w:rPr>
              <w:t>后能够从该项目撤离，目前任职项目：</w:t>
            </w:r>
            <w:r>
              <w:rPr>
                <w:u w:val="single"/>
              </w:rPr>
              <w:t xml:space="preserve">                 </w:t>
            </w:r>
            <w:r>
              <w:rPr>
                <w:rFonts w:hint="eastAsia"/>
              </w:rPr>
              <w:t>，担任职位：</w:t>
            </w:r>
            <w:r>
              <w:rPr>
                <w:u w:val="single"/>
              </w:rPr>
              <w:t xml:space="preserve">           </w:t>
            </w:r>
            <w:r>
              <w:rPr>
                <w:rFonts w:hint="eastAsia"/>
              </w:rPr>
              <w:t>。</w:t>
            </w:r>
          </w:p>
        </w:tc>
      </w:tr>
      <w:tr w14:paraId="7E5F2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8" w:hRule="atLeast"/>
        </w:trPr>
        <w:tc>
          <w:tcPr>
            <w:tcW w:w="2718" w:type="dxa"/>
            <w:gridSpan w:val="2"/>
            <w:tcBorders>
              <w:top w:val="single" w:color="auto" w:sz="4" w:space="0"/>
              <w:right w:val="single" w:color="auto" w:sz="4" w:space="0"/>
            </w:tcBorders>
            <w:vAlign w:val="center"/>
          </w:tcPr>
          <w:p w14:paraId="758269B1">
            <w:pPr>
              <w:spacing w:line="360" w:lineRule="auto"/>
              <w:jc w:val="center"/>
            </w:pPr>
            <w:r>
              <w:rPr>
                <w:rFonts w:hint="eastAsia"/>
              </w:rPr>
              <w:t>备</w:t>
            </w:r>
            <w:r>
              <w:t xml:space="preserve">    </w:t>
            </w:r>
            <w:r>
              <w:rPr>
                <w:rFonts w:hint="eastAsia"/>
              </w:rPr>
              <w:t>注</w:t>
            </w:r>
          </w:p>
        </w:tc>
        <w:tc>
          <w:tcPr>
            <w:tcW w:w="6462" w:type="dxa"/>
            <w:gridSpan w:val="7"/>
            <w:tcBorders>
              <w:top w:val="single" w:color="auto" w:sz="4" w:space="0"/>
              <w:left w:val="single" w:color="auto" w:sz="4" w:space="0"/>
            </w:tcBorders>
            <w:vAlign w:val="center"/>
          </w:tcPr>
          <w:p w14:paraId="54C05719">
            <w:pPr>
              <w:spacing w:line="360" w:lineRule="auto"/>
              <w:jc w:val="center"/>
            </w:pPr>
          </w:p>
        </w:tc>
      </w:tr>
    </w:tbl>
    <w:p w14:paraId="1AAB2D99">
      <w:pPr>
        <w:keepNext w:val="0"/>
        <w:keepLines w:val="0"/>
        <w:pageBreakBefore w:val="0"/>
        <w:widowControl w:val="0"/>
        <w:kinsoku/>
        <w:wordWrap/>
        <w:overflowPunct/>
        <w:topLinePunct w:val="0"/>
        <w:autoSpaceDE/>
        <w:autoSpaceDN/>
        <w:bidi w:val="0"/>
        <w:adjustRightInd/>
        <w:snapToGrid/>
        <w:spacing w:line="360" w:lineRule="auto"/>
        <w:ind w:left="-5"/>
        <w:textAlignment w:val="auto"/>
      </w:pPr>
      <w:r>
        <w:rPr>
          <w:rFonts w:hint="eastAsia"/>
        </w:rPr>
        <w:t>注：</w:t>
      </w:r>
      <w:r>
        <w:rPr>
          <w:rFonts w:eastAsia="Times New Roman"/>
        </w:rPr>
        <w:t>1.</w:t>
      </w:r>
      <w:r>
        <w:rPr>
          <w:rFonts w:hint="eastAsia"/>
        </w:rPr>
        <w:t>本表应填写项目经理、项目技术负责人和安全负责人相关情况。</w:t>
      </w:r>
      <w:r>
        <w:rPr>
          <w:rFonts w:eastAsia="Times New Roman"/>
        </w:rPr>
        <w:t xml:space="preserve"> </w:t>
      </w:r>
    </w:p>
    <w:p w14:paraId="59E890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eastAsia="Times New Roman"/>
        </w:rPr>
        <w:t>2.</w:t>
      </w:r>
      <w:r>
        <w:rPr>
          <w:rFonts w:hint="eastAsia"/>
          <w:lang w:eastAsia="zh-CN"/>
        </w:rPr>
        <w:t>竞包人</w:t>
      </w:r>
      <w:r>
        <w:rPr>
          <w:rFonts w:hint="eastAsia"/>
        </w:rPr>
        <w:t>应根据</w:t>
      </w:r>
      <w:r>
        <w:rPr>
          <w:rFonts w:hint="eastAsia"/>
          <w:lang w:eastAsia="zh-CN"/>
        </w:rPr>
        <w:t>发包文件</w:t>
      </w:r>
      <w:r>
        <w:rPr>
          <w:rFonts w:hint="eastAsia"/>
        </w:rPr>
        <w:t>第二章</w:t>
      </w:r>
      <w:r>
        <w:t>“</w:t>
      </w:r>
      <w:r>
        <w:rPr>
          <w:rFonts w:hint="eastAsia"/>
          <w:lang w:eastAsia="zh-CN"/>
        </w:rPr>
        <w:t>竞包人</w:t>
      </w:r>
      <w:r>
        <w:rPr>
          <w:rFonts w:hint="eastAsia"/>
        </w:rPr>
        <w:t>须知</w:t>
      </w:r>
      <w:r>
        <w:t>”</w:t>
      </w:r>
      <w:r>
        <w:rPr>
          <w:rFonts w:hint="eastAsia"/>
        </w:rPr>
        <w:t>第</w:t>
      </w:r>
      <w:r>
        <w:t xml:space="preserve"> </w:t>
      </w:r>
      <w:r>
        <w:rPr>
          <w:rFonts w:eastAsia="Times New Roman"/>
        </w:rPr>
        <w:t xml:space="preserve">3.5.5 </w:t>
      </w:r>
      <w:r>
        <w:rPr>
          <w:rFonts w:hint="eastAsia"/>
        </w:rPr>
        <w:t>项的要求在本表后附相关证明材料。</w:t>
      </w:r>
    </w:p>
    <w:p w14:paraId="4EC0F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t>3.</w:t>
      </w:r>
      <w:r>
        <w:rPr>
          <w:rFonts w:hint="eastAsia"/>
        </w:rPr>
        <w:t>项目经理若曾在其他在建合同工程中担任项目经理（包括设计施工总承包项目中的施工负责人）但已进行更换的，应附项目发包人的同意更换证明材料，否则更换前后的项目经理均视为有</w:t>
      </w:r>
      <w:r>
        <w:t>“</w:t>
      </w:r>
      <w:r>
        <w:rPr>
          <w:rFonts w:hint="eastAsia"/>
        </w:rPr>
        <w:t>在建合同工程</w:t>
      </w:r>
      <w:r>
        <w:t>”</w:t>
      </w:r>
      <w:r>
        <w:rPr>
          <w:rFonts w:hint="eastAsia"/>
        </w:rPr>
        <w:t>。</w:t>
      </w:r>
    </w:p>
    <w:p w14:paraId="4C9523AA">
      <w:pPr>
        <w:rPr>
          <w:rFonts w:hint="eastAsia"/>
        </w:rPr>
      </w:pPr>
      <w:r>
        <w:rPr>
          <w:rFonts w:hint="eastAsia"/>
        </w:rPr>
        <w:br w:type="page"/>
      </w:r>
    </w:p>
    <w:p w14:paraId="552D4519">
      <w:pPr>
        <w:pStyle w:val="6"/>
        <w:jc w:val="center"/>
        <w:rPr>
          <w:sz w:val="28"/>
          <w:szCs w:val="28"/>
        </w:rPr>
      </w:pPr>
      <w:bookmarkStart w:id="478" w:name="_Toc154675224"/>
      <w:r>
        <w:rPr>
          <w:rFonts w:hint="eastAsia"/>
          <w:sz w:val="28"/>
          <w:szCs w:val="28"/>
        </w:rPr>
        <w:t>（四）近年完成的类似项目情况表</w:t>
      </w:r>
      <w:bookmarkEnd w:id="478"/>
    </w:p>
    <w:tbl>
      <w:tblPr>
        <w:tblStyle w:val="4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6323"/>
      </w:tblGrid>
      <w:tr w14:paraId="1C3D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top w:val="single" w:color="auto" w:sz="12" w:space="0"/>
              <w:left w:val="single" w:color="auto" w:sz="12" w:space="0"/>
            </w:tcBorders>
            <w:vAlign w:val="center"/>
          </w:tcPr>
          <w:p w14:paraId="716AD11D">
            <w:pPr>
              <w:spacing w:line="360" w:lineRule="auto"/>
              <w:jc w:val="center"/>
            </w:pPr>
            <w:r>
              <w:rPr>
                <w:rFonts w:hint="eastAsia"/>
              </w:rPr>
              <w:t>项目名称</w:t>
            </w:r>
          </w:p>
        </w:tc>
        <w:tc>
          <w:tcPr>
            <w:tcW w:w="6323" w:type="dxa"/>
            <w:tcBorders>
              <w:top w:val="single" w:color="auto" w:sz="12" w:space="0"/>
              <w:right w:val="single" w:color="auto" w:sz="12" w:space="0"/>
            </w:tcBorders>
            <w:vAlign w:val="center"/>
          </w:tcPr>
          <w:p w14:paraId="32036984">
            <w:pPr>
              <w:spacing w:line="360" w:lineRule="auto"/>
              <w:jc w:val="center"/>
            </w:pPr>
          </w:p>
        </w:tc>
      </w:tr>
      <w:tr w14:paraId="7F61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65105843">
            <w:pPr>
              <w:spacing w:line="360" w:lineRule="auto"/>
              <w:jc w:val="center"/>
            </w:pPr>
            <w:r>
              <w:rPr>
                <w:rFonts w:hint="eastAsia"/>
              </w:rPr>
              <w:t>项目所在地</w:t>
            </w:r>
          </w:p>
        </w:tc>
        <w:tc>
          <w:tcPr>
            <w:tcW w:w="6323" w:type="dxa"/>
            <w:tcBorders>
              <w:right w:val="single" w:color="auto" w:sz="12" w:space="0"/>
            </w:tcBorders>
            <w:vAlign w:val="center"/>
          </w:tcPr>
          <w:p w14:paraId="0EFBE127">
            <w:pPr>
              <w:spacing w:line="360" w:lineRule="auto"/>
              <w:jc w:val="center"/>
            </w:pPr>
          </w:p>
        </w:tc>
      </w:tr>
      <w:tr w14:paraId="1B3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60D3B810">
            <w:pPr>
              <w:spacing w:line="360" w:lineRule="auto"/>
              <w:jc w:val="center"/>
            </w:pPr>
            <w:r>
              <w:rPr>
                <w:rFonts w:hint="eastAsia"/>
              </w:rPr>
              <w:t>发包人名称</w:t>
            </w:r>
          </w:p>
        </w:tc>
        <w:tc>
          <w:tcPr>
            <w:tcW w:w="6323" w:type="dxa"/>
            <w:tcBorders>
              <w:right w:val="single" w:color="auto" w:sz="12" w:space="0"/>
            </w:tcBorders>
            <w:vAlign w:val="center"/>
          </w:tcPr>
          <w:p w14:paraId="359F82F7">
            <w:pPr>
              <w:spacing w:line="360" w:lineRule="auto"/>
              <w:jc w:val="center"/>
            </w:pPr>
          </w:p>
        </w:tc>
      </w:tr>
      <w:tr w14:paraId="50DE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0834E722">
            <w:pPr>
              <w:spacing w:line="360" w:lineRule="auto"/>
              <w:jc w:val="center"/>
            </w:pPr>
            <w:r>
              <w:rPr>
                <w:rFonts w:hint="eastAsia"/>
              </w:rPr>
              <w:t>发包人地址</w:t>
            </w:r>
          </w:p>
        </w:tc>
        <w:tc>
          <w:tcPr>
            <w:tcW w:w="6323" w:type="dxa"/>
            <w:tcBorders>
              <w:right w:val="single" w:color="auto" w:sz="12" w:space="0"/>
            </w:tcBorders>
            <w:vAlign w:val="center"/>
          </w:tcPr>
          <w:p w14:paraId="715A6820">
            <w:pPr>
              <w:spacing w:line="360" w:lineRule="auto"/>
              <w:jc w:val="center"/>
            </w:pPr>
          </w:p>
        </w:tc>
      </w:tr>
      <w:tr w14:paraId="134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3E692D28">
            <w:pPr>
              <w:spacing w:line="360" w:lineRule="auto"/>
              <w:jc w:val="center"/>
            </w:pPr>
            <w:r>
              <w:rPr>
                <w:rFonts w:hint="eastAsia"/>
              </w:rPr>
              <w:t>发包人电话</w:t>
            </w:r>
          </w:p>
        </w:tc>
        <w:tc>
          <w:tcPr>
            <w:tcW w:w="6323" w:type="dxa"/>
            <w:tcBorders>
              <w:right w:val="single" w:color="auto" w:sz="12" w:space="0"/>
            </w:tcBorders>
            <w:vAlign w:val="center"/>
          </w:tcPr>
          <w:p w14:paraId="78CA35B5">
            <w:pPr>
              <w:spacing w:line="360" w:lineRule="auto"/>
              <w:jc w:val="center"/>
            </w:pPr>
          </w:p>
        </w:tc>
      </w:tr>
      <w:tr w14:paraId="46D4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6350A5FF">
            <w:pPr>
              <w:spacing w:line="360" w:lineRule="auto"/>
              <w:jc w:val="center"/>
            </w:pPr>
            <w:r>
              <w:rPr>
                <w:rFonts w:hint="eastAsia"/>
              </w:rPr>
              <w:t>合同价格</w:t>
            </w:r>
          </w:p>
        </w:tc>
        <w:tc>
          <w:tcPr>
            <w:tcW w:w="6323" w:type="dxa"/>
            <w:tcBorders>
              <w:right w:val="single" w:color="auto" w:sz="12" w:space="0"/>
            </w:tcBorders>
            <w:vAlign w:val="center"/>
          </w:tcPr>
          <w:p w14:paraId="04053F8B">
            <w:pPr>
              <w:spacing w:line="360" w:lineRule="auto"/>
              <w:jc w:val="center"/>
            </w:pPr>
          </w:p>
        </w:tc>
      </w:tr>
      <w:tr w14:paraId="5607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5014EBBA">
            <w:pPr>
              <w:spacing w:line="360" w:lineRule="auto"/>
              <w:jc w:val="center"/>
            </w:pPr>
            <w:r>
              <w:rPr>
                <w:rFonts w:hint="eastAsia"/>
              </w:rPr>
              <w:t>开工日期</w:t>
            </w:r>
          </w:p>
        </w:tc>
        <w:tc>
          <w:tcPr>
            <w:tcW w:w="6323" w:type="dxa"/>
            <w:tcBorders>
              <w:right w:val="single" w:color="auto" w:sz="12" w:space="0"/>
            </w:tcBorders>
            <w:vAlign w:val="center"/>
          </w:tcPr>
          <w:p w14:paraId="4E667BD4">
            <w:pPr>
              <w:spacing w:line="360" w:lineRule="auto"/>
              <w:jc w:val="center"/>
            </w:pPr>
          </w:p>
        </w:tc>
      </w:tr>
      <w:tr w14:paraId="7DA3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2786304A">
            <w:pPr>
              <w:spacing w:line="360" w:lineRule="auto"/>
              <w:jc w:val="center"/>
            </w:pPr>
            <w:r>
              <w:rPr>
                <w:rFonts w:hint="eastAsia"/>
              </w:rPr>
              <w:t>交工日期</w:t>
            </w:r>
          </w:p>
        </w:tc>
        <w:tc>
          <w:tcPr>
            <w:tcW w:w="6323" w:type="dxa"/>
            <w:tcBorders>
              <w:right w:val="single" w:color="auto" w:sz="12" w:space="0"/>
            </w:tcBorders>
            <w:vAlign w:val="center"/>
          </w:tcPr>
          <w:p w14:paraId="3C48082B">
            <w:pPr>
              <w:spacing w:line="360" w:lineRule="auto"/>
              <w:jc w:val="center"/>
            </w:pPr>
          </w:p>
        </w:tc>
      </w:tr>
      <w:tr w14:paraId="6350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6C5BEEF9">
            <w:pPr>
              <w:spacing w:line="360" w:lineRule="auto"/>
              <w:jc w:val="center"/>
            </w:pPr>
            <w:r>
              <w:rPr>
                <w:rFonts w:hint="eastAsia"/>
              </w:rPr>
              <w:t>承担的工作</w:t>
            </w:r>
          </w:p>
        </w:tc>
        <w:tc>
          <w:tcPr>
            <w:tcW w:w="6323" w:type="dxa"/>
            <w:tcBorders>
              <w:right w:val="single" w:color="auto" w:sz="12" w:space="0"/>
            </w:tcBorders>
            <w:vAlign w:val="center"/>
          </w:tcPr>
          <w:p w14:paraId="53115269">
            <w:pPr>
              <w:spacing w:line="360" w:lineRule="auto"/>
              <w:jc w:val="center"/>
            </w:pPr>
          </w:p>
        </w:tc>
      </w:tr>
      <w:tr w14:paraId="1698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71DA7093">
            <w:pPr>
              <w:spacing w:line="360" w:lineRule="auto"/>
              <w:jc w:val="center"/>
            </w:pPr>
            <w:r>
              <w:rPr>
                <w:rFonts w:hint="eastAsia"/>
              </w:rPr>
              <w:t>工程质量</w:t>
            </w:r>
          </w:p>
        </w:tc>
        <w:tc>
          <w:tcPr>
            <w:tcW w:w="6323" w:type="dxa"/>
            <w:tcBorders>
              <w:right w:val="single" w:color="auto" w:sz="12" w:space="0"/>
            </w:tcBorders>
            <w:vAlign w:val="center"/>
          </w:tcPr>
          <w:p w14:paraId="0D080B43">
            <w:pPr>
              <w:spacing w:line="360" w:lineRule="auto"/>
              <w:jc w:val="center"/>
            </w:pPr>
          </w:p>
        </w:tc>
      </w:tr>
      <w:tr w14:paraId="5B75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2E7DBA0C">
            <w:pPr>
              <w:spacing w:line="360" w:lineRule="auto"/>
              <w:jc w:val="center"/>
            </w:pPr>
            <w:r>
              <w:rPr>
                <w:rFonts w:hint="eastAsia"/>
              </w:rPr>
              <w:t>项目经理</w:t>
            </w:r>
          </w:p>
        </w:tc>
        <w:tc>
          <w:tcPr>
            <w:tcW w:w="6323" w:type="dxa"/>
            <w:tcBorders>
              <w:right w:val="single" w:color="auto" w:sz="12" w:space="0"/>
            </w:tcBorders>
            <w:vAlign w:val="center"/>
          </w:tcPr>
          <w:p w14:paraId="5BCCDE06">
            <w:pPr>
              <w:spacing w:line="360" w:lineRule="auto"/>
              <w:jc w:val="center"/>
            </w:pPr>
          </w:p>
        </w:tc>
      </w:tr>
      <w:tr w14:paraId="2C8B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4F8F2178">
            <w:pPr>
              <w:spacing w:line="360" w:lineRule="auto"/>
              <w:jc w:val="center"/>
            </w:pPr>
            <w:r>
              <w:rPr>
                <w:rFonts w:hint="eastAsia"/>
              </w:rPr>
              <w:t>项目技术负责人</w:t>
            </w:r>
          </w:p>
        </w:tc>
        <w:tc>
          <w:tcPr>
            <w:tcW w:w="6323" w:type="dxa"/>
            <w:tcBorders>
              <w:right w:val="single" w:color="auto" w:sz="12" w:space="0"/>
            </w:tcBorders>
            <w:vAlign w:val="center"/>
          </w:tcPr>
          <w:p w14:paraId="1E9B8630">
            <w:pPr>
              <w:spacing w:line="360" w:lineRule="auto"/>
              <w:jc w:val="center"/>
            </w:pPr>
          </w:p>
        </w:tc>
      </w:tr>
      <w:tr w14:paraId="4026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tcBorders>
            <w:vAlign w:val="center"/>
          </w:tcPr>
          <w:p w14:paraId="714131B6">
            <w:pPr>
              <w:spacing w:line="360" w:lineRule="auto"/>
              <w:jc w:val="center"/>
            </w:pPr>
            <w:r>
              <w:rPr>
                <w:rFonts w:hint="eastAsia"/>
              </w:rPr>
              <w:t>总监理工程师及电话</w:t>
            </w:r>
          </w:p>
        </w:tc>
        <w:tc>
          <w:tcPr>
            <w:tcW w:w="6323" w:type="dxa"/>
            <w:tcBorders>
              <w:right w:val="single" w:color="auto" w:sz="12" w:space="0"/>
            </w:tcBorders>
            <w:vAlign w:val="center"/>
          </w:tcPr>
          <w:p w14:paraId="337864B5">
            <w:pPr>
              <w:spacing w:line="360" w:lineRule="auto"/>
              <w:jc w:val="center"/>
            </w:pPr>
          </w:p>
        </w:tc>
      </w:tr>
      <w:tr w14:paraId="09E5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857" w:type="dxa"/>
            <w:tcBorders>
              <w:left w:val="single" w:color="auto" w:sz="12" w:space="0"/>
            </w:tcBorders>
            <w:vAlign w:val="center"/>
          </w:tcPr>
          <w:p w14:paraId="58E45017">
            <w:pPr>
              <w:spacing w:line="360" w:lineRule="auto"/>
              <w:jc w:val="center"/>
            </w:pPr>
            <w:r>
              <w:rPr>
                <w:rFonts w:hint="eastAsia"/>
              </w:rPr>
              <w:t>项目描述</w:t>
            </w:r>
          </w:p>
        </w:tc>
        <w:tc>
          <w:tcPr>
            <w:tcW w:w="6323" w:type="dxa"/>
            <w:tcBorders>
              <w:right w:val="single" w:color="auto" w:sz="12" w:space="0"/>
            </w:tcBorders>
            <w:vAlign w:val="center"/>
          </w:tcPr>
          <w:p w14:paraId="294C42C4">
            <w:pPr>
              <w:spacing w:line="360" w:lineRule="auto"/>
              <w:jc w:val="center"/>
            </w:pPr>
          </w:p>
        </w:tc>
      </w:tr>
      <w:tr w14:paraId="0688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57" w:type="dxa"/>
            <w:tcBorders>
              <w:left w:val="single" w:color="auto" w:sz="12" w:space="0"/>
            </w:tcBorders>
            <w:vAlign w:val="center"/>
          </w:tcPr>
          <w:p w14:paraId="0F4056BB">
            <w:pPr>
              <w:spacing w:line="360" w:lineRule="auto"/>
              <w:jc w:val="center"/>
            </w:pPr>
            <w:r>
              <w:rPr>
                <w:rFonts w:hint="eastAsia"/>
              </w:rPr>
              <w:t>是否在</w:t>
            </w:r>
            <w:r>
              <w:t>“</w:t>
            </w:r>
            <w:r>
              <w:rPr>
                <w:rFonts w:hint="eastAsia"/>
              </w:rPr>
              <w:t>浙江省交通运输信用综合管理服务系统</w:t>
            </w:r>
            <w:r>
              <w:t>”</w:t>
            </w:r>
            <w:r>
              <w:rPr>
                <w:rFonts w:hint="eastAsia"/>
              </w:rPr>
              <w:t>中公开</w:t>
            </w:r>
          </w:p>
        </w:tc>
        <w:tc>
          <w:tcPr>
            <w:tcW w:w="6323" w:type="dxa"/>
            <w:tcBorders>
              <w:right w:val="single" w:color="auto" w:sz="12" w:space="0"/>
            </w:tcBorders>
            <w:vAlign w:val="center"/>
          </w:tcPr>
          <w:p w14:paraId="36946172">
            <w:pPr>
              <w:spacing w:line="360" w:lineRule="auto"/>
              <w:jc w:val="center"/>
            </w:pPr>
          </w:p>
        </w:tc>
      </w:tr>
      <w:tr w14:paraId="241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57" w:type="dxa"/>
            <w:tcBorders>
              <w:left w:val="single" w:color="auto" w:sz="12" w:space="0"/>
              <w:bottom w:val="single" w:color="auto" w:sz="12" w:space="0"/>
            </w:tcBorders>
            <w:vAlign w:val="center"/>
          </w:tcPr>
          <w:p w14:paraId="25CC252A">
            <w:pPr>
              <w:spacing w:line="360" w:lineRule="auto"/>
              <w:jc w:val="center"/>
            </w:pPr>
            <w:r>
              <w:rPr>
                <w:rFonts w:hint="eastAsia"/>
              </w:rPr>
              <w:t>备</w:t>
            </w:r>
            <w:r>
              <w:t xml:space="preserve">    </w:t>
            </w:r>
            <w:r>
              <w:rPr>
                <w:rFonts w:hint="eastAsia"/>
              </w:rPr>
              <w:t>注</w:t>
            </w:r>
          </w:p>
        </w:tc>
        <w:tc>
          <w:tcPr>
            <w:tcW w:w="6323" w:type="dxa"/>
            <w:tcBorders>
              <w:bottom w:val="single" w:color="auto" w:sz="12" w:space="0"/>
              <w:right w:val="single" w:color="auto" w:sz="12" w:space="0"/>
            </w:tcBorders>
            <w:vAlign w:val="center"/>
          </w:tcPr>
          <w:p w14:paraId="37D22972">
            <w:pPr>
              <w:spacing w:line="360" w:lineRule="auto"/>
              <w:jc w:val="center"/>
            </w:pPr>
          </w:p>
        </w:tc>
      </w:tr>
    </w:tbl>
    <w:p w14:paraId="2B75E409">
      <w:pPr>
        <w:spacing w:line="360" w:lineRule="auto"/>
        <w:ind w:left="627" w:leftChars="171" w:hanging="268" w:hangingChars="128"/>
      </w:pPr>
    </w:p>
    <w:p w14:paraId="705B8DC6">
      <w:pPr>
        <w:spacing w:line="240" w:lineRule="auto"/>
        <w:ind w:right="206" w:rightChars="98"/>
        <w:rPr>
          <w:rFonts w:hint="eastAsia" w:ascii="宋体" w:hAnsi="宋体" w:eastAsia="宋体" w:cs="宋体"/>
        </w:rPr>
      </w:pPr>
      <w:r>
        <w:rPr>
          <w:rFonts w:hint="eastAsia" w:ascii="宋体" w:hAnsi="宋体" w:eastAsia="宋体" w:cs="宋体"/>
        </w:rPr>
        <w:t>注：1.每张表格只填写一个项目，并标明序号。</w:t>
      </w:r>
    </w:p>
    <w:p w14:paraId="05F22916">
      <w:pPr>
        <w:spacing w:line="240" w:lineRule="auto"/>
        <w:ind w:right="206" w:rightChars="98"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竞包</w:t>
      </w:r>
      <w:r>
        <w:rPr>
          <w:rFonts w:hint="eastAsia" w:ascii="宋体" w:hAnsi="宋体" w:eastAsia="宋体" w:cs="宋体"/>
        </w:rPr>
        <w:t>人应根据</w:t>
      </w:r>
      <w:r>
        <w:rPr>
          <w:rFonts w:hint="eastAsia" w:ascii="宋体" w:hAnsi="宋体" w:cs="宋体"/>
          <w:lang w:val="en-US" w:eastAsia="zh-CN"/>
        </w:rPr>
        <w:t>发包</w:t>
      </w:r>
      <w:r>
        <w:rPr>
          <w:rFonts w:hint="eastAsia" w:ascii="宋体" w:hAnsi="宋体" w:eastAsia="宋体" w:cs="宋体"/>
        </w:rPr>
        <w:t>文件第二章“</w:t>
      </w:r>
      <w:r>
        <w:rPr>
          <w:rFonts w:hint="eastAsia" w:ascii="宋体" w:hAnsi="宋体" w:eastAsia="宋体" w:cs="宋体"/>
          <w:lang w:val="en-US" w:eastAsia="zh-CN"/>
        </w:rPr>
        <w:t>竞包</w:t>
      </w:r>
      <w:r>
        <w:rPr>
          <w:rFonts w:hint="eastAsia" w:ascii="宋体" w:hAnsi="宋体" w:cs="宋体"/>
          <w:lang w:val="en-US" w:eastAsia="zh-CN"/>
        </w:rPr>
        <w:t>人</w:t>
      </w:r>
      <w:r>
        <w:rPr>
          <w:rFonts w:hint="eastAsia" w:ascii="宋体" w:hAnsi="宋体" w:eastAsia="宋体" w:cs="宋体"/>
        </w:rPr>
        <w:t>须知”附录3 资格审查条件（业绩最低要求）的要求在本表后附相关证明材料。</w:t>
      </w:r>
    </w:p>
    <w:p w14:paraId="13C8BDCF">
      <w:pPr>
        <w:spacing w:line="240" w:lineRule="auto"/>
        <w:ind w:right="206" w:rightChars="98" w:firstLine="420" w:firstLineChars="200"/>
        <w:rPr>
          <w:rFonts w:hint="eastAsia" w:ascii="宋体" w:hAnsi="宋体" w:eastAsia="宋体" w:cs="宋体"/>
        </w:rPr>
      </w:pPr>
      <w:r>
        <w:rPr>
          <w:rFonts w:hint="eastAsia" w:ascii="宋体" w:hAnsi="宋体" w:eastAsia="宋体" w:cs="宋体"/>
        </w:rPr>
        <w:t>3.如近年来，</w:t>
      </w:r>
      <w:r>
        <w:rPr>
          <w:rFonts w:hint="eastAsia" w:ascii="宋体" w:hAnsi="宋体" w:cs="宋体"/>
          <w:lang w:val="en-US" w:eastAsia="zh-CN"/>
        </w:rPr>
        <w:t>竞包</w:t>
      </w:r>
      <w:r>
        <w:rPr>
          <w:rFonts w:hint="eastAsia" w:ascii="宋体" w:hAnsi="宋体" w:eastAsia="宋体" w:cs="宋体"/>
        </w:rPr>
        <w:t>人法人机构发生合法变更或重组或法人名称变更时，应提供相关部门的合法批件或其他相关证明材料来证明其所附业绩的继承性。</w:t>
      </w:r>
    </w:p>
    <w:p w14:paraId="71E39B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4.以联合体形式参与</w:t>
      </w:r>
      <w:r>
        <w:rPr>
          <w:rFonts w:hint="eastAsia" w:ascii="宋体" w:hAnsi="宋体" w:cs="宋体"/>
          <w:lang w:val="en-US" w:eastAsia="zh-CN"/>
        </w:rPr>
        <w:t>竞包</w:t>
      </w:r>
      <w:r>
        <w:rPr>
          <w:rFonts w:hint="eastAsia" w:ascii="宋体" w:hAnsi="宋体" w:eastAsia="宋体" w:cs="宋体"/>
        </w:rPr>
        <w:t>的，联合体各成员应分别填写。</w:t>
      </w:r>
    </w:p>
    <w:p w14:paraId="198AC476">
      <w:pPr>
        <w:spacing w:line="360" w:lineRule="auto"/>
        <w:ind w:right="347"/>
      </w:pPr>
      <w:r>
        <w:br w:type="page"/>
      </w:r>
    </w:p>
    <w:p w14:paraId="39E0ED39">
      <w:pPr>
        <w:pStyle w:val="97"/>
        <w:jc w:val="center"/>
        <w:rPr>
          <w:sz w:val="36"/>
          <w:szCs w:val="36"/>
        </w:rPr>
      </w:pPr>
      <w:bookmarkStart w:id="479" w:name="_Toc154675233"/>
      <w:bookmarkStart w:id="480" w:name="_Toc22078"/>
      <w:bookmarkStart w:id="481" w:name="_Toc12417"/>
      <w:r>
        <w:rPr>
          <w:rFonts w:hint="eastAsia"/>
          <w:sz w:val="36"/>
          <w:szCs w:val="36"/>
          <w:lang w:val="en-US" w:eastAsia="zh-CN"/>
        </w:rPr>
        <w:t>五</w:t>
      </w:r>
      <w:r>
        <w:rPr>
          <w:rFonts w:hint="eastAsia"/>
          <w:sz w:val="36"/>
          <w:szCs w:val="36"/>
        </w:rPr>
        <w:t>、承诺函</w:t>
      </w:r>
      <w:bookmarkEnd w:id="479"/>
      <w:bookmarkEnd w:id="480"/>
      <w:bookmarkEnd w:id="481"/>
    </w:p>
    <w:p w14:paraId="7191AB98">
      <w:pPr>
        <w:spacing w:line="360" w:lineRule="auto"/>
      </w:pPr>
    </w:p>
    <w:p w14:paraId="687DD088">
      <w:pPr>
        <w:spacing w:line="360" w:lineRule="auto"/>
      </w:pPr>
      <w:r>
        <w:t>_________________________</w:t>
      </w:r>
      <w:r>
        <w:rPr>
          <w:rFonts w:hint="eastAsia"/>
        </w:rPr>
        <w:t>（</w:t>
      </w:r>
      <w:r>
        <w:rPr>
          <w:rFonts w:hint="eastAsia"/>
          <w:lang w:eastAsia="zh-CN"/>
        </w:rPr>
        <w:t>发包人</w:t>
      </w:r>
      <w:r>
        <w:rPr>
          <w:rFonts w:hint="eastAsia"/>
        </w:rPr>
        <w:t>名称）：</w:t>
      </w:r>
    </w:p>
    <w:p w14:paraId="05FF6B64">
      <w:pPr>
        <w:spacing w:line="360" w:lineRule="auto"/>
      </w:pPr>
    </w:p>
    <w:p w14:paraId="4BC15389">
      <w:pPr>
        <w:spacing w:line="360" w:lineRule="auto"/>
        <w:ind w:firstLine="435"/>
      </w:pPr>
      <w:r>
        <w:rPr>
          <w:rFonts w:hint="eastAsia"/>
        </w:rPr>
        <w:t>我方参加了</w:t>
      </w:r>
      <w:r>
        <w:t>__________________</w:t>
      </w:r>
      <w:r>
        <w:rPr>
          <w:rFonts w:hint="eastAsia"/>
        </w:rPr>
        <w:t>（项目名称）施工</w:t>
      </w:r>
      <w:r>
        <w:rPr>
          <w:rFonts w:hint="eastAsia"/>
          <w:lang w:eastAsia="zh-CN"/>
        </w:rPr>
        <w:t>竞包</w:t>
      </w:r>
      <w:r>
        <w:rPr>
          <w:rFonts w:hint="eastAsia"/>
        </w:rPr>
        <w:t>，若我方</w:t>
      </w:r>
      <w:r>
        <w:rPr>
          <w:rFonts w:hint="eastAsia"/>
          <w:lang w:val="en-US" w:eastAsia="zh-CN"/>
        </w:rPr>
        <w:t>承包</w:t>
      </w:r>
      <w:r>
        <w:rPr>
          <w:rFonts w:hint="eastAsia"/>
        </w:rPr>
        <w:t>，我方在此承诺：</w:t>
      </w:r>
    </w:p>
    <w:p w14:paraId="355F281F">
      <w:pPr>
        <w:spacing w:line="360" w:lineRule="auto"/>
        <w:ind w:firstLine="435"/>
      </w:pPr>
      <w:r>
        <w:rPr>
          <w:rFonts w:hint="eastAsia"/>
        </w:rPr>
        <w:t>若本项目</w:t>
      </w:r>
      <w:r>
        <w:rPr>
          <w:rFonts w:hint="eastAsia"/>
          <w:lang w:eastAsia="zh-CN"/>
        </w:rPr>
        <w:t>发包文件</w:t>
      </w:r>
      <w:r>
        <w:rPr>
          <w:rFonts w:hint="eastAsia"/>
        </w:rPr>
        <w:t>未要求我方在</w:t>
      </w:r>
      <w:r>
        <w:rPr>
          <w:rFonts w:hint="eastAsia"/>
          <w:lang w:eastAsia="zh-CN"/>
        </w:rPr>
        <w:t>竞包</w:t>
      </w:r>
      <w:r>
        <w:rPr>
          <w:rFonts w:hint="eastAsia"/>
        </w:rPr>
        <w:t>文件中填报派驻本标段的其他主要管理人员和技术人员及主要机械设备和试验检测设备，在</w:t>
      </w:r>
      <w:r>
        <w:rPr>
          <w:rFonts w:hint="eastAsia"/>
          <w:lang w:eastAsia="zh-CN"/>
        </w:rPr>
        <w:t>发包人</w:t>
      </w:r>
      <w:r>
        <w:rPr>
          <w:rFonts w:hint="eastAsia"/>
          <w:lang w:val="en-US" w:eastAsia="zh-CN"/>
        </w:rPr>
        <w:t>合同谈判期间</w:t>
      </w:r>
      <w:r>
        <w:rPr>
          <w:rFonts w:hint="eastAsia"/>
        </w:rPr>
        <w:t>，我方将按照合同附件提出的最低要求填报派驻本标段的其他主要管理人员和技术人员（并按要求提供社保证明）及主要机械设备和试验检测设备，在经</w:t>
      </w:r>
      <w:r>
        <w:rPr>
          <w:rFonts w:hint="eastAsia"/>
          <w:lang w:eastAsia="zh-CN"/>
        </w:rPr>
        <w:t>发包人</w:t>
      </w:r>
      <w:r>
        <w:rPr>
          <w:rFonts w:hint="eastAsia"/>
        </w:rPr>
        <w:t>审批后作为派驻本标段的项目管理机构主要人员和主要设备且不进行更换。</w:t>
      </w:r>
    </w:p>
    <w:p w14:paraId="3560A710">
      <w:pPr>
        <w:spacing w:line="360" w:lineRule="auto"/>
        <w:ind w:firstLine="435"/>
      </w:pPr>
      <w:r>
        <w:rPr>
          <w:rFonts w:hint="eastAsia"/>
        </w:rPr>
        <w:t>若我方已按本项目</w:t>
      </w:r>
      <w:r>
        <w:rPr>
          <w:rFonts w:hint="eastAsia"/>
          <w:lang w:eastAsia="zh-CN"/>
        </w:rPr>
        <w:t>发包文件</w:t>
      </w:r>
      <w:r>
        <w:rPr>
          <w:rFonts w:hint="eastAsia"/>
        </w:rPr>
        <w:t>要求在</w:t>
      </w:r>
      <w:r>
        <w:rPr>
          <w:rFonts w:hint="eastAsia"/>
          <w:lang w:eastAsia="zh-CN"/>
        </w:rPr>
        <w:t>竞包</w:t>
      </w:r>
      <w:r>
        <w:rPr>
          <w:rFonts w:hint="eastAsia"/>
        </w:rPr>
        <w:t>文件中填报派驻本标段的其他主要管理人员和技术人员及主要机械设备和试验检测设备，我方将严格按照在</w:t>
      </w:r>
      <w:r>
        <w:rPr>
          <w:rFonts w:hint="eastAsia"/>
          <w:lang w:eastAsia="zh-CN"/>
        </w:rPr>
        <w:t>竞包</w:t>
      </w:r>
      <w:r>
        <w:rPr>
          <w:rFonts w:hint="eastAsia"/>
        </w:rPr>
        <w:t>文件中填报的其他主要管理人员和技术人员及主要机械设备和试验检测设备组织进场施工，且不进行更换。</w:t>
      </w:r>
    </w:p>
    <w:p w14:paraId="149E4AD1">
      <w:pPr>
        <w:spacing w:line="360" w:lineRule="auto"/>
        <w:ind w:firstLine="435"/>
      </w:pPr>
      <w:r>
        <w:rPr>
          <w:rFonts w:hint="eastAsia"/>
        </w:rPr>
        <w:t>如我方违背了上述承诺，本项目</w:t>
      </w:r>
      <w:r>
        <w:rPr>
          <w:rFonts w:hint="eastAsia"/>
          <w:lang w:eastAsia="zh-CN"/>
        </w:rPr>
        <w:t>发包人</w:t>
      </w:r>
      <w:r>
        <w:rPr>
          <w:rFonts w:hint="eastAsia"/>
        </w:rPr>
        <w:t>有权取消我方的</w:t>
      </w:r>
      <w:r>
        <w:rPr>
          <w:rFonts w:hint="eastAsia"/>
          <w:lang w:val="en-US" w:eastAsia="zh-CN"/>
        </w:rPr>
        <w:t>承包</w:t>
      </w:r>
      <w:r>
        <w:rPr>
          <w:rFonts w:hint="eastAsia"/>
        </w:rPr>
        <w:t>资格，并由</w:t>
      </w:r>
      <w:r>
        <w:rPr>
          <w:rFonts w:hint="eastAsia"/>
          <w:lang w:eastAsia="zh-CN"/>
        </w:rPr>
        <w:t>发包人</w:t>
      </w:r>
      <w:r>
        <w:rPr>
          <w:rFonts w:hint="eastAsia"/>
        </w:rPr>
        <w:t>将我方的违约行为上报省级交通主管部门，作为不良记录纳入</w:t>
      </w:r>
      <w:r>
        <w:rPr>
          <w:rFonts w:hint="eastAsia"/>
          <w:szCs w:val="21"/>
        </w:rPr>
        <w:t>浙江省交通运输信用管理</w:t>
      </w:r>
      <w:r>
        <w:rPr>
          <w:rFonts w:hint="eastAsia"/>
          <w:szCs w:val="21"/>
          <w:lang w:val="en-US" w:eastAsia="zh-CN"/>
        </w:rPr>
        <w:t>与</w:t>
      </w:r>
      <w:r>
        <w:rPr>
          <w:rFonts w:hint="eastAsia"/>
          <w:szCs w:val="21"/>
        </w:rPr>
        <w:t>服务系统</w:t>
      </w:r>
      <w:r>
        <w:rPr>
          <w:rFonts w:hint="eastAsia"/>
        </w:rPr>
        <w:t>。</w:t>
      </w:r>
    </w:p>
    <w:p w14:paraId="272FD04A">
      <w:pPr>
        <w:spacing w:line="360" w:lineRule="auto"/>
        <w:ind w:firstLine="435"/>
      </w:pPr>
      <w:r>
        <w:rPr>
          <w:rFonts w:hint="eastAsia"/>
        </w:rPr>
        <w:t>我方同时承诺，不通过互联网与任何单位和个人进行与本项目有关图纸资料交换传递，不通过任何途径向本项目无关方泄露和传播本项目有关图纸资料。</w:t>
      </w:r>
    </w:p>
    <w:p w14:paraId="235E1552">
      <w:pPr>
        <w:spacing w:line="360" w:lineRule="auto"/>
        <w:ind w:firstLine="435"/>
      </w:pPr>
      <w:r>
        <w:rPr>
          <w:rFonts w:hint="eastAsia"/>
        </w:rPr>
        <w:t>我方承诺本项目拟任项目经理在</w:t>
      </w:r>
      <w:r>
        <w:rPr>
          <w:rFonts w:hint="eastAsia"/>
          <w:lang w:eastAsia="zh-CN"/>
        </w:rPr>
        <w:t>竞包</w:t>
      </w:r>
      <w:r>
        <w:rPr>
          <w:rFonts w:hint="eastAsia"/>
        </w:rPr>
        <w:t>截止时间无在其他任何在建合同工程上担任项目经理（包括设计施工总承包项目中的施工负责人）的情形。在建合同工程的开始时间为合同工程</w:t>
      </w:r>
      <w:r>
        <w:rPr>
          <w:rFonts w:hint="eastAsia"/>
          <w:lang w:val="en-US" w:eastAsia="zh-CN"/>
        </w:rPr>
        <w:t>预承包</w:t>
      </w:r>
      <w:r>
        <w:rPr>
          <w:rFonts w:hint="eastAsia"/>
        </w:rPr>
        <w:t>通知书发出日期（不通过招标</w:t>
      </w:r>
      <w:r>
        <w:rPr>
          <w:rFonts w:hint="eastAsia"/>
          <w:lang w:val="en-US" w:eastAsia="zh-CN"/>
        </w:rPr>
        <w:t>或发包</w:t>
      </w:r>
      <w:r>
        <w:rPr>
          <w:rFonts w:hint="eastAsia"/>
        </w:rPr>
        <w:t>方式的，开始时间为合同签订日期），结束时间为该合同通过合同验收或合同解除日期。</w:t>
      </w:r>
    </w:p>
    <w:p w14:paraId="40CE0486">
      <w:pPr>
        <w:spacing w:line="360" w:lineRule="auto"/>
        <w:ind w:firstLine="435"/>
      </w:pPr>
      <w:r>
        <w:rPr>
          <w:rFonts w:hint="eastAsia"/>
        </w:rPr>
        <w:t>以上承诺如有虚假，愿意接受</w:t>
      </w:r>
      <w:r>
        <w:rPr>
          <w:rFonts w:hint="eastAsia"/>
          <w:lang w:eastAsia="zh-CN"/>
        </w:rPr>
        <w:t>竞包</w:t>
      </w:r>
      <w:r>
        <w:rPr>
          <w:rFonts w:hint="eastAsia"/>
        </w:rPr>
        <w:t>保证金不予退还的处理。给</w:t>
      </w:r>
      <w:r>
        <w:rPr>
          <w:rFonts w:hint="eastAsia"/>
          <w:lang w:eastAsia="zh-CN"/>
        </w:rPr>
        <w:t>发包人</w:t>
      </w:r>
      <w:r>
        <w:rPr>
          <w:rFonts w:hint="eastAsia"/>
        </w:rPr>
        <w:t>造成损失的，愿意依法承担赔偿责任。如已</w:t>
      </w:r>
      <w:r>
        <w:rPr>
          <w:rFonts w:hint="eastAsia"/>
          <w:lang w:val="en-US" w:eastAsia="zh-CN"/>
        </w:rPr>
        <w:t>承包</w:t>
      </w:r>
      <w:r>
        <w:rPr>
          <w:rFonts w:hint="eastAsia"/>
        </w:rPr>
        <w:t>，同意</w:t>
      </w:r>
      <w:r>
        <w:rPr>
          <w:rFonts w:hint="eastAsia"/>
          <w:lang w:eastAsia="zh-CN"/>
        </w:rPr>
        <w:t>发包人</w:t>
      </w:r>
      <w:r>
        <w:rPr>
          <w:rFonts w:hint="eastAsia"/>
        </w:rPr>
        <w:t>取消我方</w:t>
      </w:r>
      <w:r>
        <w:rPr>
          <w:rFonts w:hint="eastAsia"/>
          <w:lang w:val="en-US" w:eastAsia="zh-CN"/>
        </w:rPr>
        <w:t>承包</w:t>
      </w:r>
      <w:r>
        <w:rPr>
          <w:rFonts w:hint="eastAsia"/>
        </w:rPr>
        <w:t>资格的处理。</w:t>
      </w:r>
    </w:p>
    <w:p w14:paraId="46210BE1">
      <w:pPr>
        <w:spacing w:line="360" w:lineRule="auto"/>
        <w:ind w:firstLine="435"/>
      </w:pPr>
    </w:p>
    <w:p w14:paraId="09D1EB47">
      <w:pPr>
        <w:spacing w:line="360" w:lineRule="auto"/>
        <w:ind w:firstLine="525" w:firstLineChars="250"/>
      </w:pPr>
      <w:r>
        <w:t xml:space="preserve">                                </w:t>
      </w:r>
      <w:r>
        <w:rPr>
          <w:rFonts w:hint="eastAsia"/>
          <w:lang w:eastAsia="zh-CN"/>
        </w:rPr>
        <w:t>竞包人</w:t>
      </w:r>
      <w:r>
        <w:rPr>
          <w:rFonts w:hint="eastAsia"/>
        </w:rPr>
        <w:t>：</w:t>
      </w:r>
      <w:r>
        <w:t>_______________________</w:t>
      </w:r>
      <w:r>
        <w:rPr>
          <w:rFonts w:hint="eastAsia"/>
        </w:rPr>
        <w:t>（盖单位电子印章）</w:t>
      </w:r>
    </w:p>
    <w:p w14:paraId="36A6ABBB">
      <w:pPr>
        <w:spacing w:line="360" w:lineRule="auto"/>
        <w:ind w:firstLine="525" w:firstLineChars="250"/>
      </w:pPr>
      <w:r>
        <w:t xml:space="preserve">                                </w:t>
      </w:r>
      <w:r>
        <w:rPr>
          <w:rFonts w:hint="eastAsia"/>
        </w:rPr>
        <w:t>法定代表人：</w:t>
      </w:r>
      <w:r>
        <w:t>_______________</w:t>
      </w:r>
      <w:r>
        <w:rPr>
          <w:rFonts w:hint="eastAsia"/>
        </w:rPr>
        <w:t>（盖法定代表人电子章）</w:t>
      </w:r>
    </w:p>
    <w:p w14:paraId="71AA554D">
      <w:pPr>
        <w:spacing w:line="360" w:lineRule="auto"/>
        <w:ind w:firstLine="525" w:firstLineChars="250"/>
      </w:pPr>
      <w:r>
        <w:t xml:space="preserve">                                          ________</w:t>
      </w:r>
      <w:r>
        <w:rPr>
          <w:rFonts w:hint="eastAsia"/>
        </w:rPr>
        <w:t>年</w:t>
      </w:r>
      <w:r>
        <w:t>____</w:t>
      </w:r>
      <w:r>
        <w:rPr>
          <w:rFonts w:hint="eastAsia"/>
        </w:rPr>
        <w:t>月</w:t>
      </w:r>
      <w:r>
        <w:t>____</w:t>
      </w:r>
      <w:r>
        <w:rPr>
          <w:rFonts w:hint="eastAsia"/>
        </w:rPr>
        <w:t>日</w:t>
      </w:r>
    </w:p>
    <w:p w14:paraId="17D4825D">
      <w:pPr>
        <w:widowControl/>
        <w:jc w:val="left"/>
        <w:rPr>
          <w:rFonts w:ascii="黑体" w:hAnsi="黑体" w:eastAsia="黑体"/>
          <w:sz w:val="36"/>
          <w:szCs w:val="36"/>
        </w:rPr>
      </w:pPr>
      <w:r>
        <w:rPr>
          <w:rFonts w:ascii="黑体" w:hAnsi="黑体" w:eastAsia="黑体"/>
          <w:sz w:val="36"/>
          <w:szCs w:val="36"/>
        </w:rPr>
        <w:br w:type="page"/>
      </w:r>
    </w:p>
    <w:p w14:paraId="23FFCB8B">
      <w:pPr>
        <w:jc w:val="center"/>
        <w:outlineLvl w:val="1"/>
        <w:rPr>
          <w:rFonts w:ascii="黑体" w:hAnsi="黑体" w:eastAsia="黑体"/>
          <w:sz w:val="36"/>
          <w:szCs w:val="36"/>
        </w:rPr>
      </w:pPr>
      <w:bookmarkStart w:id="482" w:name="_Toc28668"/>
      <w:bookmarkStart w:id="483" w:name="_Toc11049"/>
      <w:r>
        <w:rPr>
          <w:rFonts w:hint="eastAsia" w:ascii="黑体" w:hAnsi="黑体" w:eastAsia="黑体"/>
          <w:sz w:val="36"/>
          <w:szCs w:val="36"/>
          <w:lang w:val="en-US" w:eastAsia="zh-CN"/>
        </w:rPr>
        <w:t>六、</w:t>
      </w:r>
      <w:r>
        <w:rPr>
          <w:rFonts w:hint="eastAsia" w:ascii="黑体" w:hAnsi="黑体" w:eastAsia="黑体"/>
          <w:sz w:val="36"/>
          <w:szCs w:val="36"/>
        </w:rPr>
        <w:t>诚信</w:t>
      </w:r>
      <w:r>
        <w:rPr>
          <w:rFonts w:hint="eastAsia" w:ascii="黑体" w:hAnsi="黑体" w:eastAsia="黑体"/>
          <w:sz w:val="36"/>
          <w:szCs w:val="36"/>
          <w:lang w:val="en-US" w:eastAsia="zh-CN"/>
        </w:rPr>
        <w:t>竞包</w:t>
      </w:r>
      <w:r>
        <w:rPr>
          <w:rFonts w:hint="eastAsia" w:ascii="黑体" w:hAnsi="黑体" w:eastAsia="黑体"/>
          <w:sz w:val="36"/>
          <w:szCs w:val="36"/>
        </w:rPr>
        <w:t>承诺函</w:t>
      </w:r>
      <w:bookmarkEnd w:id="482"/>
      <w:bookmarkEnd w:id="483"/>
    </w:p>
    <w:p w14:paraId="64EF0A0B">
      <w:pPr>
        <w:spacing w:line="400" w:lineRule="exact"/>
      </w:pPr>
    </w:p>
    <w:p w14:paraId="7F5A2B7F">
      <w:pPr>
        <w:spacing w:line="400" w:lineRule="exact"/>
      </w:pPr>
      <w:r>
        <w:t>_________________________</w:t>
      </w:r>
      <w:r>
        <w:rPr>
          <w:rFonts w:hint="eastAsia"/>
        </w:rPr>
        <w:t>（</w:t>
      </w:r>
      <w:r>
        <w:rPr>
          <w:rFonts w:hint="eastAsia"/>
          <w:lang w:eastAsia="zh-CN"/>
        </w:rPr>
        <w:t>发包人</w:t>
      </w:r>
      <w:r>
        <w:rPr>
          <w:rFonts w:hint="eastAsia"/>
        </w:rPr>
        <w:t>名称）：</w:t>
      </w:r>
    </w:p>
    <w:p w14:paraId="6D0D79F1">
      <w:pPr>
        <w:spacing w:line="400" w:lineRule="exact"/>
        <w:ind w:firstLine="435"/>
      </w:pPr>
      <w:r>
        <w:rPr>
          <w:rFonts w:hint="eastAsia"/>
        </w:rPr>
        <w:t>我方参加了</w:t>
      </w:r>
      <w:r>
        <w:t>__________________</w:t>
      </w:r>
      <w:r>
        <w:rPr>
          <w:rFonts w:hint="eastAsia"/>
        </w:rPr>
        <w:t>（项目名称）施工</w:t>
      </w:r>
      <w:r>
        <w:rPr>
          <w:rFonts w:hint="eastAsia"/>
          <w:lang w:val="en-US" w:eastAsia="zh-CN"/>
        </w:rPr>
        <w:t>竞包</w:t>
      </w:r>
      <w:r>
        <w:rPr>
          <w:rFonts w:hint="eastAsia"/>
        </w:rPr>
        <w:t>，我方在此承诺：</w:t>
      </w:r>
    </w:p>
    <w:p w14:paraId="7BD0C063">
      <w:pPr>
        <w:spacing w:line="400" w:lineRule="exact"/>
        <w:ind w:firstLine="435"/>
        <w:rPr>
          <w:rFonts w:ascii="宋体" w:hAnsi="宋体"/>
          <w:szCs w:val="21"/>
        </w:rPr>
      </w:pPr>
      <w:r>
        <w:rPr>
          <w:rFonts w:hint="eastAsia" w:ascii="宋体" w:hAnsi="宋体"/>
          <w:szCs w:val="21"/>
        </w:rPr>
        <w:t>我方法定代表人、拟派项目经理、委托代理人等主要责任人遵循公开、公平、公正和诚实信用的原则参与本次</w:t>
      </w:r>
      <w:r>
        <w:rPr>
          <w:rFonts w:hint="eastAsia" w:ascii="宋体" w:hAnsi="宋体"/>
          <w:szCs w:val="21"/>
          <w:lang w:eastAsia="zh-CN"/>
        </w:rPr>
        <w:t>竞包</w:t>
      </w:r>
      <w:r>
        <w:rPr>
          <w:rFonts w:hint="eastAsia" w:ascii="宋体" w:hAnsi="宋体"/>
          <w:szCs w:val="21"/>
        </w:rPr>
        <w:t>，没有弄虚作假、串通</w:t>
      </w:r>
      <w:r>
        <w:rPr>
          <w:rFonts w:hint="eastAsia" w:ascii="宋体" w:hAnsi="宋体"/>
          <w:szCs w:val="21"/>
          <w:lang w:eastAsia="zh-CN"/>
        </w:rPr>
        <w:t>竞包</w:t>
      </w:r>
      <w:r>
        <w:rPr>
          <w:rFonts w:hint="eastAsia" w:ascii="宋体" w:hAnsi="宋体"/>
          <w:szCs w:val="21"/>
        </w:rPr>
        <w:t>、行贿等行为。</w:t>
      </w:r>
    </w:p>
    <w:p w14:paraId="35207FB7">
      <w:pPr>
        <w:spacing w:line="400" w:lineRule="exact"/>
        <w:ind w:firstLine="435"/>
        <w:rPr>
          <w:rFonts w:ascii="宋体" w:hAnsi="宋体"/>
          <w:szCs w:val="21"/>
        </w:rPr>
      </w:pPr>
      <w:r>
        <w:rPr>
          <w:rFonts w:hint="eastAsia" w:ascii="宋体" w:hAnsi="宋体"/>
          <w:szCs w:val="21"/>
        </w:rPr>
        <w:t>我方同时承诺在本项目</w:t>
      </w:r>
      <w:r>
        <w:rPr>
          <w:rFonts w:hint="eastAsia" w:ascii="宋体" w:hAnsi="宋体"/>
          <w:szCs w:val="21"/>
          <w:lang w:eastAsia="zh-CN"/>
        </w:rPr>
        <w:t>竞包</w:t>
      </w:r>
      <w:r>
        <w:rPr>
          <w:rFonts w:hint="eastAsia" w:ascii="宋体" w:hAnsi="宋体"/>
          <w:szCs w:val="21"/>
        </w:rPr>
        <w:t>截止时间至</w:t>
      </w:r>
      <w:r>
        <w:rPr>
          <w:rFonts w:hint="eastAsia" w:ascii="宋体" w:hAnsi="宋体"/>
          <w:szCs w:val="21"/>
          <w:lang w:val="en-US" w:eastAsia="zh-CN"/>
        </w:rPr>
        <w:t>预承包</w:t>
      </w:r>
      <w:r>
        <w:rPr>
          <w:rFonts w:hint="eastAsia" w:ascii="宋体" w:hAnsi="宋体"/>
          <w:szCs w:val="21"/>
        </w:rPr>
        <w:t>公示结束期间，本项目</w:t>
      </w:r>
      <w:r>
        <w:rPr>
          <w:rFonts w:hint="eastAsia" w:ascii="宋体" w:hAnsi="宋体"/>
          <w:szCs w:val="21"/>
          <w:lang w:eastAsia="zh-CN"/>
        </w:rPr>
        <w:t>竞包</w:t>
      </w:r>
      <w:r>
        <w:rPr>
          <w:rFonts w:hint="eastAsia" w:ascii="宋体" w:hAnsi="宋体"/>
          <w:szCs w:val="21"/>
        </w:rPr>
        <w:t>所需资质的动态核查结果为</w:t>
      </w:r>
      <w:r>
        <w:rPr>
          <w:rFonts w:ascii="宋体" w:hAnsi="宋体"/>
          <w:szCs w:val="21"/>
        </w:rPr>
        <w:t>“</w:t>
      </w:r>
      <w:r>
        <w:rPr>
          <w:rFonts w:hint="eastAsia" w:ascii="宋体" w:hAnsi="宋体"/>
          <w:szCs w:val="21"/>
        </w:rPr>
        <w:t>合格”状态。</w:t>
      </w:r>
    </w:p>
    <w:p w14:paraId="3859A70E">
      <w:pPr>
        <w:spacing w:line="400" w:lineRule="exact"/>
        <w:ind w:firstLine="435"/>
      </w:pPr>
      <w:r>
        <w:rPr>
          <w:rFonts w:hint="eastAsia"/>
        </w:rPr>
        <w:t>以上承诺如有虚假，愿意接受</w:t>
      </w:r>
      <w:r>
        <w:rPr>
          <w:rFonts w:hint="eastAsia"/>
          <w:lang w:eastAsia="zh-CN"/>
        </w:rPr>
        <w:t>竞包</w:t>
      </w:r>
      <w:r>
        <w:rPr>
          <w:rFonts w:hint="eastAsia"/>
        </w:rPr>
        <w:t>保证金不予退还的处理。如已</w:t>
      </w:r>
      <w:r>
        <w:rPr>
          <w:rFonts w:hint="eastAsia"/>
          <w:highlight w:val="yellow"/>
          <w:lang w:val="en-US" w:eastAsia="zh-CN"/>
        </w:rPr>
        <w:t>预承包</w:t>
      </w:r>
      <w:r>
        <w:rPr>
          <w:rFonts w:hint="eastAsia"/>
        </w:rPr>
        <w:t>，同意</w:t>
      </w:r>
      <w:r>
        <w:rPr>
          <w:rFonts w:hint="eastAsia"/>
          <w:lang w:eastAsia="zh-CN"/>
        </w:rPr>
        <w:t>发包人</w:t>
      </w:r>
      <w:r>
        <w:rPr>
          <w:rFonts w:hint="eastAsia"/>
        </w:rPr>
        <w:t>取消我方</w:t>
      </w:r>
      <w:r>
        <w:rPr>
          <w:rFonts w:hint="eastAsia"/>
          <w:lang w:val="en-US" w:eastAsia="zh-CN"/>
        </w:rPr>
        <w:t>预承包</w:t>
      </w:r>
      <w:r>
        <w:rPr>
          <w:rFonts w:hint="eastAsia"/>
        </w:rPr>
        <w:t>资格，并按《浙江省公路水运建设工程从业主体信用评价管理细则》扣分或纳入负面清单管理。给</w:t>
      </w:r>
      <w:r>
        <w:rPr>
          <w:rFonts w:hint="eastAsia"/>
          <w:lang w:eastAsia="zh-CN"/>
        </w:rPr>
        <w:t>发包人</w:t>
      </w:r>
      <w:r>
        <w:rPr>
          <w:rFonts w:hint="eastAsia"/>
        </w:rPr>
        <w:t>造成损失的，愿意依法承担赔偿责任。</w:t>
      </w:r>
    </w:p>
    <w:p w14:paraId="0288669E">
      <w:pPr>
        <w:spacing w:line="400" w:lineRule="exact"/>
        <w:ind w:firstLine="435"/>
      </w:pPr>
    </w:p>
    <w:p w14:paraId="118672D5">
      <w:pPr>
        <w:spacing w:line="400" w:lineRule="exact"/>
        <w:ind w:firstLine="435"/>
      </w:pPr>
    </w:p>
    <w:p w14:paraId="6BF2509C">
      <w:pPr>
        <w:spacing w:line="360" w:lineRule="auto"/>
        <w:ind w:firstLine="525" w:firstLineChars="250"/>
      </w:pPr>
      <w:r>
        <w:t xml:space="preserve">                                </w:t>
      </w:r>
      <w:r>
        <w:rPr>
          <w:rFonts w:hint="eastAsia"/>
          <w:lang w:eastAsia="zh-CN"/>
        </w:rPr>
        <w:t>竞包人</w:t>
      </w:r>
      <w:r>
        <w:rPr>
          <w:rFonts w:hint="eastAsia"/>
        </w:rPr>
        <w:t>：</w:t>
      </w:r>
      <w:r>
        <w:t>_______________________</w:t>
      </w:r>
      <w:r>
        <w:rPr>
          <w:rFonts w:hint="eastAsia"/>
        </w:rPr>
        <w:t>（盖单位电子印章）</w:t>
      </w:r>
    </w:p>
    <w:p w14:paraId="78C114FD">
      <w:pPr>
        <w:spacing w:line="360" w:lineRule="auto"/>
        <w:ind w:firstLine="525" w:firstLineChars="250"/>
      </w:pPr>
      <w:r>
        <w:t xml:space="preserve">                                </w:t>
      </w:r>
      <w:r>
        <w:rPr>
          <w:rFonts w:hint="eastAsia"/>
        </w:rPr>
        <w:t>法定代表人：</w:t>
      </w:r>
      <w:r>
        <w:t>_______________</w:t>
      </w:r>
      <w:r>
        <w:rPr>
          <w:rFonts w:hint="eastAsia"/>
        </w:rPr>
        <w:t>（盖法定代表人电子章）</w:t>
      </w:r>
    </w:p>
    <w:p w14:paraId="0B91A0C7">
      <w:pPr>
        <w:spacing w:line="360" w:lineRule="auto"/>
        <w:ind w:firstLine="435"/>
      </w:pPr>
      <w:r>
        <w:t xml:space="preserve">                                          ________</w:t>
      </w:r>
      <w:r>
        <w:rPr>
          <w:rFonts w:hint="eastAsia"/>
        </w:rPr>
        <w:t>年</w:t>
      </w:r>
      <w:r>
        <w:t>____</w:t>
      </w:r>
      <w:r>
        <w:rPr>
          <w:rFonts w:hint="eastAsia"/>
        </w:rPr>
        <w:t>月</w:t>
      </w:r>
      <w:r>
        <w:t>____</w:t>
      </w:r>
      <w:r>
        <w:rPr>
          <w:rFonts w:hint="eastAsia"/>
        </w:rPr>
        <w:t>日</w:t>
      </w:r>
    </w:p>
    <w:p w14:paraId="175B458E">
      <w:pPr>
        <w:pStyle w:val="97"/>
        <w:jc w:val="center"/>
        <w:rPr>
          <w:rFonts w:hint="eastAsia" w:ascii="黑体" w:hAnsi="黑体" w:eastAsia="黑体" w:cs="黑体"/>
          <w:sz w:val="36"/>
          <w:szCs w:val="36"/>
        </w:rPr>
      </w:pPr>
      <w:r>
        <w:br w:type="page"/>
      </w:r>
      <w:bookmarkStart w:id="484" w:name="_Toc154675234"/>
      <w:bookmarkStart w:id="485" w:name="_Toc26998"/>
      <w:bookmarkStart w:id="486" w:name="_Toc5060"/>
      <w:r>
        <w:rPr>
          <w:rFonts w:hint="eastAsia" w:ascii="黑体" w:hAnsi="黑体" w:eastAsia="黑体" w:cs="黑体"/>
          <w:sz w:val="36"/>
          <w:szCs w:val="36"/>
          <w:lang w:val="en-US" w:eastAsia="zh-CN"/>
        </w:rPr>
        <w:t>七</w:t>
      </w:r>
      <w:r>
        <w:rPr>
          <w:rFonts w:hint="eastAsia" w:ascii="黑体" w:hAnsi="黑体" w:eastAsia="黑体" w:cs="黑体"/>
          <w:sz w:val="36"/>
          <w:szCs w:val="36"/>
        </w:rPr>
        <w:t>、其他材料</w:t>
      </w:r>
      <w:bookmarkEnd w:id="484"/>
      <w:bookmarkEnd w:id="485"/>
      <w:bookmarkEnd w:id="486"/>
    </w:p>
    <w:p w14:paraId="33E13AF4">
      <w:pPr>
        <w:widowControl/>
        <w:spacing w:line="360" w:lineRule="auto"/>
        <w:jc w:val="left"/>
      </w:pPr>
    </w:p>
    <w:sectPr>
      <w:footnotePr>
        <w:numFmt w:val="decimalEnclosedCircleChinese"/>
        <w:numRestart w:val="eachPage"/>
      </w:footnotePr>
      <w:type w:val="oddPage"/>
      <w:pgSz w:w="12240" w:h="15840"/>
      <w:pgMar w:top="1417" w:right="1701" w:bottom="1417" w:left="1701" w:header="1134" w:footer="1134"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086BC6-AC82-4B29-BCEE-B96D28ABFCCC}"/>
  </w:font>
  <w:font w:name="黑体">
    <w:panose1 w:val="02010609060101010101"/>
    <w:charset w:val="86"/>
    <w:family w:val="auto"/>
    <w:pitch w:val="default"/>
    <w:sig w:usb0="800002BF" w:usb1="38CF7CFA" w:usb2="00000016" w:usb3="00000000" w:csb0="00040001" w:csb1="00000000"/>
    <w:embedRegular r:id="rId2" w:fontKey="{F071749C-2088-450C-A057-AE455187B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6A0F89F-64A1-405F-8F14-BF79D8EC5597}"/>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7615AD51-5DB7-4E37-89F4-B82A7B53BBBE}"/>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5" w:fontKey="{3DB56C4C-62CC-4506-AC3D-CCFDADC0AD8E}"/>
  </w:font>
  <w:font w:name="???|CS?o｡ﾀ?">
    <w:altName w:val="Segoe Print"/>
    <w:panose1 w:val="00000000000000000000"/>
    <w:charset w:val="0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9" w:usb3="00000000" w:csb0="000001FF" w:csb1="00000000"/>
  </w:font>
  <w:font w:name="隶书">
    <w:panose1 w:val="02010509060101010101"/>
    <w:charset w:val="86"/>
    <w:family w:val="modern"/>
    <w:pitch w:val="default"/>
    <w:sig w:usb0="00000001" w:usb1="080E0000" w:usb2="00000000" w:usb3="00000000" w:csb0="00040000" w:csb1="00000000"/>
    <w:embedRegular r:id="rId6" w:fontKey="{812D1602-D24E-4104-80A9-587AACA30B5A}"/>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7" w:fontKey="{5A376377-46AA-4114-AE87-6B818416911D}"/>
  </w:font>
  <w:font w:name="方正大标宋简体">
    <w:panose1 w:val="02000000000000000000"/>
    <w:charset w:val="86"/>
    <w:family w:val="auto"/>
    <w:pitch w:val="default"/>
    <w:sig w:usb0="A00002BF" w:usb1="184F6CFA" w:usb2="00000012" w:usb3="00000000" w:csb0="00040001" w:csb1="00000000"/>
    <w:embedRegular r:id="rId8" w:fontKey="{4795AB3A-D7F0-4061-8F51-B27A53D61F35}"/>
  </w:font>
  <w:font w:name="方正姚体">
    <w:panose1 w:val="02010601030101010101"/>
    <w:charset w:val="86"/>
    <w:family w:val="auto"/>
    <w:pitch w:val="default"/>
    <w:sig w:usb0="00000003" w:usb1="080E0000" w:usb2="00000000" w:usb3="00000000" w:csb0="00040000" w:csb1="00000000"/>
    <w:embedRegular r:id="rId9" w:fontKey="{3CF2F86D-5A47-411D-BA62-220C457E97F3}"/>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C437">
    <w:pPr>
      <w:jc w:val="right"/>
    </w:pPr>
  </w:p>
  <w:p w14:paraId="254061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79DC"/>
  <w:p w14:paraId="49D6B6B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2880">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B7EC8">
                          <w:pPr>
                            <w:jc w:val="center"/>
                          </w:pPr>
                          <w:r>
                            <w:rPr>
                              <w:sz w:val="24"/>
                            </w:rPr>
                            <w:fldChar w:fldCharType="begin"/>
                          </w:r>
                          <w:r>
                            <w:rPr>
                              <w:sz w:val="24"/>
                            </w:rPr>
                            <w:instrText xml:space="preserve">PAGE   \* MERGEFORMAT</w:instrText>
                          </w:r>
                          <w:r>
                            <w:rPr>
                              <w:sz w:val="24"/>
                            </w:rPr>
                            <w:fldChar w:fldCharType="separate"/>
                          </w:r>
                          <w:r>
                            <w:rPr>
                              <w:sz w:val="24"/>
                            </w:rPr>
                            <w:t>241</w:t>
                          </w:r>
                          <w:r>
                            <w:rPr>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3B7EC8">
                    <w:pPr>
                      <w:jc w:val="center"/>
                    </w:pPr>
                    <w:r>
                      <w:rPr>
                        <w:sz w:val="24"/>
                      </w:rPr>
                      <w:fldChar w:fldCharType="begin"/>
                    </w:r>
                    <w:r>
                      <w:rPr>
                        <w:sz w:val="24"/>
                      </w:rPr>
                      <w:instrText xml:space="preserve">PAGE   \* MERGEFORMAT</w:instrText>
                    </w:r>
                    <w:r>
                      <w:rPr>
                        <w:sz w:val="24"/>
                      </w:rPr>
                      <w:fldChar w:fldCharType="separate"/>
                    </w:r>
                    <w:r>
                      <w:rPr>
                        <w:sz w:val="24"/>
                      </w:rPr>
                      <w:t>241</w:t>
                    </w:r>
                    <w:r>
                      <w:rPr>
                        <w:sz w:val="24"/>
                      </w:rPr>
                      <w:fldChar w:fldCharType="end"/>
                    </w:r>
                  </w:p>
                </w:txbxContent>
              </v:textbox>
            </v:shape>
          </w:pict>
        </mc:Fallback>
      </mc:AlternateContent>
    </w:r>
  </w:p>
  <w:p w14:paraId="10005D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235C">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3360" cy="1879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13360" cy="187960"/>
                      </a:xfrm>
                      <a:prstGeom prst="rect">
                        <a:avLst/>
                      </a:prstGeom>
                      <a:noFill/>
                      <a:ln>
                        <a:noFill/>
                      </a:ln>
                    </wps:spPr>
                    <wps:txbx>
                      <w:txbxContent>
                        <w:p w14:paraId="04FE25FE">
                          <w:pPr>
                            <w:pStyle w:val="29"/>
                            <w:jc w:val="cente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16</w:t>
                          </w:r>
                          <w:r>
                            <w:rPr>
                              <w:rFonts w:hint="eastAsia" w:ascii="宋体" w:hAnsi="宋体" w:eastAsia="宋体" w:cs="宋体"/>
                              <w:sz w:val="21"/>
                              <w:szCs w:val="21"/>
                            </w:rP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4.8pt;width:16.8pt;mso-position-horizontal:center;mso-position-horizontal-relative:margin;z-index:251659264;mso-width-relative:page;mso-height-relative:page;" filled="f" stroked="f" coordsize="21600,21600" o:gfxdata="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E+Tms1AAAAAMBAAAPAAAAAAAAAAEAIAAAACIAAABkcnMv&#10;ZG93bnJldi54bWxQSwECFAAUAAAACACHTuJAoRzKjs4BAACbAwAADgAAAAAAAAABACAAAAAjAQAA&#10;ZHJzL2Uyb0RvYy54bWxQSwUGAAAAAAYABgBZAQAAYwUAAAAA&#10;">
              <v:fill on="f" focussize="0,0"/>
              <v:stroke on="f"/>
              <v:imagedata o:title=""/>
              <o:lock v:ext="edit" aspectratio="f"/>
              <v:textbox inset="0mm,0mm,0mm,0mm">
                <w:txbxContent>
                  <w:p w14:paraId="04FE25FE">
                    <w:pPr>
                      <w:pStyle w:val="29"/>
                      <w:jc w:val="cente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16</w:t>
                    </w:r>
                    <w:r>
                      <w:rPr>
                        <w:rFonts w:hint="eastAsia" w:ascii="宋体" w:hAnsi="宋体" w:eastAsia="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2">
    <w:p>
      <w:r>
        <w:separator/>
      </w:r>
    </w:p>
  </w:footnote>
  <w:footnote w:type="continuationSeparator" w:id="73">
    <w:p>
      <w:r>
        <w:continuationSeparator/>
      </w:r>
    </w:p>
  </w:footnote>
  <w:footnote w:id="0">
    <w:p w14:paraId="23D82DF2">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highlight w:val="white"/>
        </w:rPr>
        <w:t>近三</w:t>
      </w:r>
      <w:r>
        <w:rPr>
          <w:rFonts w:ascii="宋体" w:hAnsi="宋体"/>
          <w:sz w:val="18"/>
          <w:szCs w:val="18"/>
          <w:highlight w:val="white"/>
        </w:rPr>
        <w:t>年，上半年发布</w:t>
      </w:r>
      <w:r>
        <w:rPr>
          <w:rFonts w:hint="eastAsia" w:ascii="宋体" w:hAnsi="宋体"/>
          <w:sz w:val="18"/>
          <w:szCs w:val="18"/>
          <w:highlight w:val="white"/>
          <w:lang w:eastAsia="zh-CN"/>
        </w:rPr>
        <w:t>发包公告</w:t>
      </w:r>
      <w:r>
        <w:rPr>
          <w:rFonts w:ascii="宋体" w:hAnsi="宋体"/>
          <w:sz w:val="18"/>
          <w:szCs w:val="18"/>
          <w:highlight w:val="white"/>
        </w:rPr>
        <w:t>的，统一为</w:t>
      </w:r>
      <w:r>
        <w:rPr>
          <w:rFonts w:hint="eastAsia" w:ascii="宋体" w:hAnsi="宋体"/>
          <w:sz w:val="18"/>
          <w:szCs w:val="18"/>
          <w:highlight w:val="white"/>
        </w:rPr>
        <w:t>“____年1月1日</w:t>
      </w:r>
      <w:r>
        <w:rPr>
          <w:rFonts w:ascii="宋体" w:hAnsi="宋体"/>
          <w:sz w:val="18"/>
          <w:szCs w:val="18"/>
          <w:highlight w:val="white"/>
        </w:rPr>
        <w:t>以来”</w:t>
      </w:r>
      <w:r>
        <w:rPr>
          <w:rFonts w:hint="eastAsia" w:ascii="宋体" w:hAnsi="宋体"/>
          <w:sz w:val="18"/>
          <w:szCs w:val="18"/>
          <w:highlight w:val="white"/>
        </w:rPr>
        <w:t>；</w:t>
      </w:r>
      <w:r>
        <w:rPr>
          <w:rFonts w:ascii="宋体" w:hAnsi="宋体"/>
          <w:sz w:val="18"/>
          <w:szCs w:val="18"/>
          <w:highlight w:val="white"/>
        </w:rPr>
        <w:t>下半年发布</w:t>
      </w:r>
      <w:r>
        <w:rPr>
          <w:rFonts w:hint="eastAsia" w:ascii="宋体" w:hAnsi="宋体"/>
          <w:sz w:val="18"/>
          <w:szCs w:val="18"/>
          <w:highlight w:val="white"/>
          <w:lang w:eastAsia="zh-CN"/>
        </w:rPr>
        <w:t>发包公告</w:t>
      </w:r>
      <w:r>
        <w:rPr>
          <w:rFonts w:ascii="宋体" w:hAnsi="宋体"/>
          <w:sz w:val="18"/>
          <w:szCs w:val="18"/>
          <w:highlight w:val="white"/>
        </w:rPr>
        <w:t>的，统一为</w:t>
      </w:r>
      <w:r>
        <w:rPr>
          <w:rFonts w:hint="eastAsia" w:ascii="宋体" w:hAnsi="宋体"/>
          <w:sz w:val="18"/>
          <w:szCs w:val="18"/>
          <w:highlight w:val="white"/>
        </w:rPr>
        <w:t>“____年</w:t>
      </w:r>
      <w:r>
        <w:rPr>
          <w:rFonts w:ascii="宋体" w:hAnsi="宋体"/>
          <w:sz w:val="18"/>
          <w:szCs w:val="18"/>
          <w:highlight w:val="white"/>
        </w:rPr>
        <w:t>7</w:t>
      </w:r>
      <w:r>
        <w:rPr>
          <w:rFonts w:hint="eastAsia" w:ascii="宋体" w:hAnsi="宋体"/>
          <w:sz w:val="18"/>
          <w:szCs w:val="18"/>
          <w:highlight w:val="white"/>
        </w:rPr>
        <w:t>月1日</w:t>
      </w:r>
      <w:r>
        <w:rPr>
          <w:rFonts w:ascii="宋体" w:hAnsi="宋体"/>
          <w:sz w:val="18"/>
          <w:szCs w:val="18"/>
          <w:highlight w:val="white"/>
        </w:rPr>
        <w:t>以来”</w:t>
      </w:r>
      <w:r>
        <w:rPr>
          <w:rFonts w:hint="eastAsia" w:ascii="宋体" w:hAnsi="宋体"/>
          <w:sz w:val="18"/>
          <w:szCs w:val="18"/>
          <w:highlight w:val="white"/>
        </w:rPr>
        <w:t>。</w:t>
      </w:r>
    </w:p>
  </w:footnote>
  <w:footnote w:id="1">
    <w:p w14:paraId="14895B83">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highlight w:val="white"/>
        </w:rPr>
        <w:t>具体资质要求由</w:t>
      </w:r>
      <w:r>
        <w:rPr>
          <w:rFonts w:hint="eastAsia" w:ascii="宋体" w:hAnsi="宋体"/>
          <w:sz w:val="18"/>
          <w:szCs w:val="18"/>
          <w:highlight w:val="white"/>
          <w:lang w:eastAsia="zh-CN"/>
        </w:rPr>
        <w:t>发包人</w:t>
      </w:r>
      <w:r>
        <w:rPr>
          <w:rFonts w:hint="eastAsia" w:ascii="宋体" w:hAnsi="宋体"/>
          <w:sz w:val="18"/>
          <w:szCs w:val="18"/>
          <w:highlight w:val="white"/>
        </w:rPr>
        <w:t>在满足国家相关法律法规前提下，根据</w:t>
      </w:r>
      <w:r>
        <w:rPr>
          <w:rFonts w:hint="eastAsia" w:ascii="宋体" w:hAnsi="宋体"/>
          <w:sz w:val="18"/>
          <w:szCs w:val="18"/>
          <w:highlight w:val="white"/>
          <w:lang w:eastAsia="zh-CN"/>
        </w:rPr>
        <w:t>发包</w:t>
      </w:r>
      <w:r>
        <w:rPr>
          <w:rFonts w:hint="eastAsia" w:ascii="宋体" w:hAnsi="宋体"/>
          <w:sz w:val="18"/>
          <w:szCs w:val="18"/>
          <w:highlight w:val="white"/>
        </w:rPr>
        <w:t>项目具体特点和实际情况确定。</w:t>
      </w:r>
    </w:p>
  </w:footnote>
  <w:footnote w:id="2">
    <w:p w14:paraId="1A40F577">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highlight w:val="white"/>
        </w:rPr>
        <w:t>具体业绩要求由</w:t>
      </w:r>
      <w:r>
        <w:rPr>
          <w:rFonts w:hint="eastAsia" w:ascii="宋体" w:hAnsi="宋体"/>
          <w:sz w:val="18"/>
          <w:szCs w:val="18"/>
          <w:highlight w:val="white"/>
          <w:lang w:val="en-US" w:eastAsia="zh-CN"/>
        </w:rPr>
        <w:t>发包</w:t>
      </w:r>
      <w:r>
        <w:rPr>
          <w:rFonts w:hint="eastAsia" w:ascii="宋体" w:hAnsi="宋体"/>
          <w:sz w:val="18"/>
          <w:szCs w:val="18"/>
          <w:highlight w:val="white"/>
        </w:rPr>
        <w:t>人在满足国家相关法律法规前提下，根据</w:t>
      </w:r>
      <w:r>
        <w:rPr>
          <w:rFonts w:hint="eastAsia" w:ascii="宋体" w:hAnsi="宋体"/>
          <w:sz w:val="18"/>
          <w:szCs w:val="18"/>
          <w:highlight w:val="white"/>
          <w:lang w:val="en-US" w:eastAsia="zh-CN"/>
        </w:rPr>
        <w:t>发包</w:t>
      </w:r>
      <w:r>
        <w:rPr>
          <w:rFonts w:hint="eastAsia" w:ascii="宋体" w:hAnsi="宋体"/>
          <w:sz w:val="18"/>
          <w:szCs w:val="18"/>
          <w:highlight w:val="white"/>
        </w:rPr>
        <w:t>项目具体特点和实际情况确定，但不得设置过高</w:t>
      </w:r>
      <w:r>
        <w:rPr>
          <w:rFonts w:hint="eastAsia" w:ascii="宋体" w:hAnsi="宋体"/>
          <w:sz w:val="18"/>
          <w:szCs w:val="18"/>
        </w:rPr>
        <w:t>的业绩资格条件。业</w:t>
      </w:r>
      <w:r>
        <w:rPr>
          <w:rFonts w:ascii="宋体" w:hAnsi="宋体"/>
          <w:sz w:val="18"/>
          <w:szCs w:val="18"/>
        </w:rPr>
        <w:t>绩最低要求应按</w:t>
      </w:r>
      <w:r>
        <w:rPr>
          <w:rFonts w:hint="eastAsia" w:ascii="宋体" w:hAnsi="宋体"/>
          <w:sz w:val="18"/>
          <w:szCs w:val="18"/>
        </w:rPr>
        <w:t>使用指南设置。</w:t>
      </w:r>
    </w:p>
  </w:footnote>
  <w:footnote w:id="3">
    <w:p w14:paraId="25D18FD4">
      <w:pPr>
        <w:pStyle w:val="33"/>
      </w:pPr>
      <w:r>
        <w:rPr>
          <w:rStyle w:val="54"/>
          <w:vertAlign w:val="baseline"/>
        </w:rPr>
        <w:footnoteRef/>
      </w:r>
      <w:r>
        <w:rPr>
          <w:rFonts w:hint="eastAsia"/>
        </w:rPr>
        <w:t>房建、绿化工程等以竣工验收日期为准。</w:t>
      </w:r>
    </w:p>
  </w:footnote>
  <w:footnote w:id="4">
    <w:p w14:paraId="7A8A2CEA">
      <w:pPr>
        <w:pStyle w:val="33"/>
        <w:snapToGrid w:val="0"/>
        <w:rPr>
          <w:rFonts w:hint="default" w:eastAsia="宋体"/>
          <w:lang w:val="en-US" w:eastAsia="zh-CN"/>
        </w:rPr>
      </w:pPr>
      <w:r>
        <w:rPr>
          <w:rStyle w:val="54"/>
        </w:rPr>
        <w:footnoteRef/>
      </w:r>
      <w:r>
        <w:t xml:space="preserve"> </w:t>
      </w:r>
      <w:r>
        <w:rPr>
          <w:rFonts w:hint="eastAsia"/>
          <w:lang w:val="en-US" w:eastAsia="zh-CN"/>
        </w:rPr>
        <w:t>本《参考文本》以新改建项目为例，养护工程可依据</w:t>
      </w:r>
      <w:r>
        <w:rPr>
          <w:rFonts w:hint="eastAsia"/>
          <w:szCs w:val="21"/>
          <w:lang w:val="en-US" w:eastAsia="zh-CN"/>
        </w:rPr>
        <w:t>《浙江省公路养护工程施工招标文件范本（2024年版）》第四章合同条款及格式作相应修改。</w:t>
      </w:r>
    </w:p>
  </w:footnote>
  <w:footnote w:id="5">
    <w:p w14:paraId="023DE525">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本说明供</w:t>
      </w:r>
      <w:r>
        <w:rPr>
          <w:rFonts w:hint="eastAsia" w:ascii="宋体" w:hAnsi="宋体"/>
          <w:sz w:val="18"/>
          <w:szCs w:val="18"/>
          <w:lang w:eastAsia="zh-CN"/>
        </w:rPr>
        <w:t>发包人</w:t>
      </w:r>
      <w:r>
        <w:rPr>
          <w:rFonts w:hint="eastAsia" w:ascii="宋体" w:hAnsi="宋体"/>
          <w:sz w:val="18"/>
          <w:szCs w:val="18"/>
        </w:rPr>
        <w:t>编制</w:t>
      </w:r>
      <w:r>
        <w:rPr>
          <w:rFonts w:hint="eastAsia" w:ascii="宋体" w:hAnsi="宋体"/>
          <w:sz w:val="18"/>
          <w:szCs w:val="18"/>
          <w:lang w:eastAsia="zh-CN"/>
        </w:rPr>
        <w:t>发包文件</w:t>
      </w:r>
      <w:r>
        <w:rPr>
          <w:rFonts w:hint="eastAsia" w:ascii="宋体" w:hAnsi="宋体"/>
          <w:sz w:val="18"/>
          <w:szCs w:val="18"/>
        </w:rPr>
        <w:t>时参考，在</w:t>
      </w:r>
      <w:r>
        <w:rPr>
          <w:rFonts w:hint="eastAsia" w:ascii="宋体" w:hAnsi="宋体"/>
          <w:sz w:val="18"/>
          <w:szCs w:val="18"/>
          <w:lang w:eastAsia="zh-CN"/>
        </w:rPr>
        <w:t>发包文件</w:t>
      </w:r>
      <w:r>
        <w:rPr>
          <w:rFonts w:hint="eastAsia" w:ascii="宋体" w:hAnsi="宋体"/>
          <w:sz w:val="18"/>
          <w:szCs w:val="18"/>
        </w:rPr>
        <w:t>中可不引用。</w:t>
      </w:r>
    </w:p>
  </w:footnote>
  <w:footnote w:id="6">
    <w:p w14:paraId="3396E1A4">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第九章“</w:t>
      </w:r>
      <w:r>
        <w:rPr>
          <w:rFonts w:hint="eastAsia" w:ascii="宋体" w:hAnsi="宋体"/>
          <w:sz w:val="18"/>
          <w:szCs w:val="18"/>
          <w:lang w:eastAsia="zh-CN"/>
        </w:rPr>
        <w:t>竞包</w:t>
      </w:r>
      <w:r>
        <w:rPr>
          <w:rFonts w:hint="eastAsia" w:ascii="宋体" w:hAnsi="宋体"/>
          <w:sz w:val="18"/>
          <w:szCs w:val="18"/>
        </w:rPr>
        <w:t>文件格式”的</w:t>
      </w:r>
      <w:r>
        <w:rPr>
          <w:rFonts w:hint="eastAsia" w:ascii="宋体" w:hAnsi="宋体"/>
          <w:sz w:val="18"/>
          <w:szCs w:val="18"/>
          <w:lang w:eastAsia="zh-CN"/>
        </w:rPr>
        <w:t>竞包</w:t>
      </w:r>
      <w:r>
        <w:rPr>
          <w:rFonts w:hint="eastAsia" w:ascii="宋体" w:hAnsi="宋体"/>
          <w:sz w:val="18"/>
          <w:szCs w:val="18"/>
        </w:rPr>
        <w:t>函附录中的数据（供</w:t>
      </w:r>
      <w:r>
        <w:rPr>
          <w:rFonts w:hint="eastAsia" w:ascii="宋体" w:hAnsi="宋体"/>
          <w:sz w:val="18"/>
          <w:szCs w:val="18"/>
          <w:lang w:eastAsia="zh-CN"/>
        </w:rPr>
        <w:t>竞包人</w:t>
      </w:r>
      <w:r>
        <w:rPr>
          <w:rFonts w:hint="eastAsia" w:ascii="宋体" w:hAnsi="宋体"/>
          <w:sz w:val="18"/>
          <w:szCs w:val="18"/>
        </w:rPr>
        <w:t>确认）与本表所列有重复。编写</w:t>
      </w:r>
      <w:r>
        <w:rPr>
          <w:rFonts w:hint="eastAsia" w:ascii="宋体" w:hAnsi="宋体"/>
          <w:sz w:val="18"/>
          <w:szCs w:val="18"/>
          <w:lang w:eastAsia="zh-CN"/>
        </w:rPr>
        <w:t>发包文件</w:t>
      </w:r>
      <w:r>
        <w:rPr>
          <w:rFonts w:hint="eastAsia" w:ascii="宋体" w:hAnsi="宋体"/>
          <w:sz w:val="18"/>
          <w:szCs w:val="18"/>
        </w:rPr>
        <w:t>的单位应仔细校核，不使数据出现差错或不一致。</w:t>
      </w:r>
    </w:p>
  </w:footnote>
  <w:footnote w:id="7">
    <w:p w14:paraId="2D511159">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缺陷责任期一般应为自实际交工日期起计算2年，</w:t>
      </w:r>
      <w:r>
        <w:rPr>
          <w:rFonts w:ascii="宋体" w:hAnsi="宋体"/>
          <w:sz w:val="18"/>
          <w:szCs w:val="18"/>
        </w:rPr>
        <w:t>机电工程为</w:t>
      </w:r>
      <w:r>
        <w:rPr>
          <w:rFonts w:hint="eastAsia" w:ascii="宋体" w:hAnsi="宋体"/>
          <w:sz w:val="18"/>
          <w:szCs w:val="18"/>
        </w:rPr>
        <w:t>1年。</w:t>
      </w:r>
    </w:p>
  </w:footnote>
  <w:footnote w:id="8">
    <w:p w14:paraId="0B531926">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逾期交工违约金一般为1</w:t>
      </w:r>
      <w:r>
        <w:rPr>
          <w:rFonts w:ascii="宋体" w:hAnsi="宋体"/>
          <w:sz w:val="18"/>
          <w:szCs w:val="18"/>
        </w:rPr>
        <w:t>-2</w:t>
      </w:r>
      <w:r>
        <w:rPr>
          <w:rFonts w:hint="eastAsia" w:ascii="宋体" w:hAnsi="宋体"/>
          <w:sz w:val="18"/>
          <w:szCs w:val="18"/>
        </w:rPr>
        <w:t>‰签约合同价。</w:t>
      </w:r>
    </w:p>
  </w:footnote>
  <w:footnote w:id="9">
    <w:p w14:paraId="68F84AD8">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逾期交工违约金限额一般应为10％签约合同价。</w:t>
      </w:r>
    </w:p>
  </w:footnote>
  <w:footnote w:id="10">
    <w:p w14:paraId="1A9E5EAF">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调价宜采用16.1.2项采用造价信息调整价格差额。</w:t>
      </w:r>
    </w:p>
  </w:footnote>
  <w:footnote w:id="11">
    <w:p w14:paraId="773EC3AD">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对于工程规模不大、工期在一年以内的工程，可以不进行调价。</w:t>
      </w:r>
    </w:p>
  </w:footnote>
  <w:footnote w:id="12">
    <w:p w14:paraId="174C9AD8">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开工预付款金额：</w:t>
      </w:r>
      <w:r>
        <w:rPr>
          <w:rFonts w:hint="eastAsia" w:ascii="宋体" w:hAnsi="宋体"/>
          <w:sz w:val="18"/>
          <w:szCs w:val="18"/>
          <w:lang w:eastAsia="zh-CN"/>
        </w:rPr>
        <w:t>发包人</w:t>
      </w:r>
      <w:r>
        <w:rPr>
          <w:rFonts w:hint="eastAsia" w:ascii="宋体" w:hAnsi="宋体"/>
          <w:sz w:val="18"/>
          <w:szCs w:val="18"/>
        </w:rPr>
        <w:t>不得随意降低或取消。</w:t>
      </w:r>
    </w:p>
  </w:footnote>
  <w:footnote w:id="13">
    <w:p w14:paraId="65B15F40">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指主要材料，最低不少于60</w:t>
      </w:r>
      <w:r>
        <w:rPr>
          <w:rFonts w:ascii="宋体" w:hAnsi="宋体"/>
          <w:sz w:val="18"/>
          <w:szCs w:val="18"/>
        </w:rPr>
        <w:t>%</w:t>
      </w:r>
      <w:r>
        <w:rPr>
          <w:rFonts w:hint="eastAsia" w:ascii="宋体" w:hAnsi="宋体"/>
          <w:sz w:val="18"/>
          <w:szCs w:val="18"/>
        </w:rPr>
        <w:t>。</w:t>
      </w:r>
    </w:p>
  </w:footnote>
  <w:footnote w:id="14">
    <w:p w14:paraId="2B3C9210">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相当于全国银行间同业拆借中心发布的贷款市场报价利率（</w:t>
      </w:r>
      <w:r>
        <w:rPr>
          <w:rFonts w:ascii="宋体" w:hAnsi="宋体"/>
          <w:sz w:val="18"/>
          <w:szCs w:val="18"/>
        </w:rPr>
        <w:t>LPR</w:t>
      </w:r>
      <w:r>
        <w:rPr>
          <w:rFonts w:hint="eastAsia" w:ascii="宋体" w:hAnsi="宋体"/>
          <w:sz w:val="18"/>
          <w:szCs w:val="18"/>
        </w:rPr>
        <w:t>）（1年期）加手续费。</w:t>
      </w:r>
      <w:r>
        <w:rPr>
          <w:rFonts w:hint="eastAsia" w:ascii="宋体" w:hAnsi="宋体"/>
          <w:sz w:val="18"/>
          <w:szCs w:val="18"/>
          <w:lang w:eastAsia="zh-CN"/>
        </w:rPr>
        <w:t>发包人</w:t>
      </w:r>
      <w:r>
        <w:rPr>
          <w:rFonts w:hint="eastAsia" w:ascii="宋体" w:hAnsi="宋体"/>
          <w:sz w:val="18"/>
          <w:szCs w:val="18"/>
        </w:rPr>
        <w:t>不能自行取消本项内容或降低利率。</w:t>
      </w:r>
    </w:p>
  </w:footnote>
  <w:footnote w:id="15">
    <w:p w14:paraId="2F061BB1">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保修期与缺陷责任期重合，一般应为自实际交工日期起计算2年（房</w:t>
      </w:r>
      <w:r>
        <w:rPr>
          <w:rFonts w:ascii="宋体" w:hAnsi="宋体"/>
          <w:sz w:val="18"/>
          <w:szCs w:val="18"/>
        </w:rPr>
        <w:t>建、机电工程</w:t>
      </w:r>
      <w:r>
        <w:rPr>
          <w:rFonts w:hint="eastAsia" w:ascii="宋体" w:hAnsi="宋体"/>
          <w:sz w:val="18"/>
          <w:szCs w:val="18"/>
        </w:rPr>
        <w:t>另行</w:t>
      </w:r>
      <w:r>
        <w:rPr>
          <w:rFonts w:ascii="宋体" w:hAnsi="宋体"/>
          <w:sz w:val="18"/>
          <w:szCs w:val="18"/>
        </w:rPr>
        <w:t>规定）</w:t>
      </w:r>
      <w:r>
        <w:rPr>
          <w:rFonts w:hint="eastAsia" w:ascii="宋体" w:hAnsi="宋体"/>
          <w:sz w:val="18"/>
          <w:szCs w:val="18"/>
        </w:rPr>
        <w:t>。</w:t>
      </w:r>
    </w:p>
  </w:footnote>
  <w:footnote w:id="16">
    <w:p w14:paraId="05463EC3">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人工费用参考比例为：路基10%，桥梁12%（其中装配式施工桥梁9%），隧道15%，路面5%，房建15%，交安机电6%。各项目可参考上述比例，结合工程实际情况确定人工费用合理比例。</w:t>
      </w:r>
    </w:p>
  </w:footnote>
  <w:footnote w:id="17">
    <w:p w14:paraId="09773F6D">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适用于高速公路工程。</w:t>
      </w:r>
    </w:p>
  </w:footnote>
  <w:footnote w:id="18">
    <w:p w14:paraId="2CEEC0D4">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适用于普通国</w:t>
      </w:r>
      <w:r>
        <w:rPr>
          <w:rFonts w:ascii="宋体" w:hAnsi="宋体"/>
          <w:sz w:val="18"/>
          <w:szCs w:val="18"/>
        </w:rPr>
        <w:t>省道</w:t>
      </w:r>
      <w:r>
        <w:rPr>
          <w:rFonts w:hint="eastAsia" w:ascii="宋体" w:hAnsi="宋体"/>
          <w:sz w:val="18"/>
          <w:szCs w:val="18"/>
        </w:rPr>
        <w:t>工程。</w:t>
      </w:r>
    </w:p>
  </w:footnote>
  <w:footnote w:id="19">
    <w:p w14:paraId="3E866AA6">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应和</w:t>
      </w:r>
      <w:r>
        <w:rPr>
          <w:rFonts w:hint="eastAsia" w:ascii="宋体" w:hAnsi="宋体"/>
          <w:sz w:val="18"/>
          <w:szCs w:val="18"/>
          <w:lang w:eastAsia="zh-CN"/>
        </w:rPr>
        <w:t>竞包人</w:t>
      </w:r>
      <w:r>
        <w:rPr>
          <w:rFonts w:hint="eastAsia" w:ascii="宋体" w:hAnsi="宋体"/>
          <w:sz w:val="18"/>
          <w:szCs w:val="18"/>
        </w:rPr>
        <w:t>须知前附表1.3.3项相一致。</w:t>
      </w:r>
    </w:p>
  </w:footnote>
  <w:footnote w:id="20">
    <w:p w14:paraId="2FEAC1CC">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适用</w:t>
      </w:r>
      <w:r>
        <w:rPr>
          <w:rFonts w:ascii="宋体" w:hAnsi="宋体"/>
          <w:sz w:val="18"/>
          <w:szCs w:val="18"/>
        </w:rPr>
        <w:t>于高速公路工程</w:t>
      </w:r>
      <w:r>
        <w:rPr>
          <w:rFonts w:hint="eastAsia" w:ascii="宋体" w:hAnsi="宋体"/>
          <w:sz w:val="18"/>
          <w:szCs w:val="18"/>
        </w:rPr>
        <w:t>。</w:t>
      </w:r>
    </w:p>
  </w:footnote>
  <w:footnote w:id="21">
    <w:p w14:paraId="6AE7E319">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 xml:space="preserve"> 适</w:t>
      </w:r>
      <w:r>
        <w:rPr>
          <w:rFonts w:ascii="宋体" w:hAnsi="宋体"/>
          <w:sz w:val="18"/>
          <w:szCs w:val="18"/>
        </w:rPr>
        <w:t>用于</w:t>
      </w:r>
      <w:r>
        <w:rPr>
          <w:rFonts w:hint="eastAsia" w:ascii="宋体" w:hAnsi="宋体"/>
          <w:sz w:val="18"/>
          <w:szCs w:val="18"/>
        </w:rPr>
        <w:t>国</w:t>
      </w:r>
      <w:r>
        <w:rPr>
          <w:rFonts w:ascii="宋体" w:hAnsi="宋体"/>
          <w:sz w:val="18"/>
          <w:szCs w:val="18"/>
        </w:rPr>
        <w:t>省道、重要</w:t>
      </w:r>
      <w:r>
        <w:rPr>
          <w:rFonts w:hint="eastAsia" w:ascii="宋体" w:hAnsi="宋体"/>
          <w:sz w:val="18"/>
          <w:szCs w:val="18"/>
        </w:rPr>
        <w:t>县</w:t>
      </w:r>
      <w:r>
        <w:rPr>
          <w:rFonts w:ascii="宋体" w:hAnsi="宋体"/>
          <w:sz w:val="18"/>
          <w:szCs w:val="18"/>
        </w:rPr>
        <w:t>道工程</w:t>
      </w:r>
      <w:r>
        <w:rPr>
          <w:rFonts w:hint="eastAsia" w:ascii="宋体" w:hAnsi="宋体"/>
          <w:sz w:val="18"/>
          <w:szCs w:val="18"/>
        </w:rPr>
        <w:t>。</w:t>
      </w:r>
    </w:p>
  </w:footnote>
  <w:footnote w:id="22">
    <w:p w14:paraId="389DFA55">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 xml:space="preserve"> 主要材料</w:t>
      </w:r>
      <w:r>
        <w:rPr>
          <w:rFonts w:ascii="宋体" w:hAnsi="宋体"/>
          <w:sz w:val="18"/>
          <w:szCs w:val="18"/>
        </w:rPr>
        <w:t>，包括钢</w:t>
      </w:r>
      <w:r>
        <w:rPr>
          <w:rFonts w:hint="eastAsia" w:ascii="宋体" w:hAnsi="宋体"/>
          <w:sz w:val="18"/>
          <w:szCs w:val="18"/>
        </w:rPr>
        <w:t>材</w:t>
      </w:r>
      <w:r>
        <w:rPr>
          <w:rFonts w:ascii="宋体" w:hAnsi="宋体"/>
          <w:sz w:val="18"/>
          <w:szCs w:val="18"/>
        </w:rPr>
        <w:t>、水泥、</w:t>
      </w:r>
      <w:r>
        <w:rPr>
          <w:rFonts w:hint="eastAsia" w:ascii="宋体" w:hAnsi="宋体"/>
          <w:sz w:val="18"/>
          <w:szCs w:val="18"/>
        </w:rPr>
        <w:t>沥青、外购</w:t>
      </w:r>
      <w:r>
        <w:rPr>
          <w:rFonts w:ascii="宋体" w:hAnsi="宋体"/>
          <w:sz w:val="18"/>
          <w:szCs w:val="18"/>
        </w:rPr>
        <w:t>地方材料等</w:t>
      </w:r>
      <w:r>
        <w:rPr>
          <w:rFonts w:hint="eastAsia" w:ascii="宋体" w:hAnsi="宋体"/>
          <w:sz w:val="18"/>
          <w:szCs w:val="18"/>
        </w:rPr>
        <w:t>，调整差价范围一般为±</w:t>
      </w:r>
      <w:r>
        <w:rPr>
          <w:rFonts w:ascii="宋体" w:hAnsi="宋体"/>
          <w:sz w:val="18"/>
          <w:szCs w:val="18"/>
        </w:rPr>
        <w:t>5</w:t>
      </w:r>
      <w:r>
        <w:rPr>
          <w:rFonts w:hint="eastAsia" w:ascii="宋体" w:hAnsi="宋体"/>
          <w:sz w:val="18"/>
          <w:szCs w:val="18"/>
        </w:rPr>
        <w:t>%。</w:t>
      </w:r>
    </w:p>
  </w:footnote>
  <w:footnote w:id="23">
    <w:p w14:paraId="38767921">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lang w:val="en-US" w:eastAsia="zh-CN"/>
        </w:rPr>
        <w:t xml:space="preserve"> </w:t>
      </w:r>
      <w:r>
        <w:rPr>
          <w:rFonts w:hint="eastAsia" w:ascii="宋体" w:hAnsi="宋体"/>
          <w:sz w:val="18"/>
          <w:szCs w:val="18"/>
        </w:rPr>
        <w:t>一般取含税信息价，地材可按设区市信息价平均值（或相邻设区市信息价平均值）对应。当期价格应与基期价格相对应。</w:t>
      </w:r>
    </w:p>
  </w:footnote>
  <w:footnote w:id="24">
    <w:p w14:paraId="0AC8D093">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一般</w:t>
      </w:r>
      <w:r>
        <w:rPr>
          <w:rFonts w:ascii="宋体" w:hAnsi="宋体"/>
          <w:sz w:val="18"/>
          <w:szCs w:val="18"/>
        </w:rPr>
        <w:t>不再增加违约条款，如确需增加的，必须符合法律、法规</w:t>
      </w:r>
      <w:r>
        <w:rPr>
          <w:rFonts w:hint="eastAsia" w:ascii="宋体" w:hAnsi="宋体"/>
          <w:sz w:val="18"/>
          <w:szCs w:val="18"/>
        </w:rPr>
        <w:t>和</w:t>
      </w:r>
      <w:r>
        <w:rPr>
          <w:rFonts w:ascii="宋体" w:hAnsi="宋体"/>
          <w:sz w:val="18"/>
          <w:szCs w:val="18"/>
        </w:rPr>
        <w:t>规章规定。</w:t>
      </w:r>
    </w:p>
  </w:footnote>
  <w:footnote w:id="25">
    <w:p w14:paraId="612959B3">
      <w:pPr>
        <w:spacing w:line="300" w:lineRule="exact"/>
        <w:ind w:left="180" w:hanging="180" w:hangingChars="100"/>
        <w:rPr>
          <w:rFonts w:ascii="宋体" w:hAnsi="宋体"/>
          <w:sz w:val="18"/>
          <w:szCs w:val="18"/>
        </w:rPr>
      </w:pPr>
      <w:r>
        <w:rPr>
          <w:rFonts w:hint="eastAsia" w:ascii="宋体" w:hAnsi="宋体"/>
          <w:sz w:val="18"/>
          <w:szCs w:val="18"/>
        </w:rPr>
        <w:footnoteRef/>
      </w:r>
      <w:r>
        <w:rPr>
          <w:rFonts w:hint="eastAsia" w:ascii="宋体" w:hAnsi="宋体"/>
          <w:sz w:val="18"/>
          <w:szCs w:val="18"/>
        </w:rPr>
        <w:t>对合同实施期间可能多次发生的违约情形，宜对每次发生违约的处理金额予以明确，但总额不应超过相关规定。</w:t>
      </w:r>
    </w:p>
  </w:footnote>
  <w:footnote w:id="26">
    <w:p w14:paraId="0821920A">
      <w:pPr>
        <w:spacing w:line="300" w:lineRule="exact"/>
        <w:ind w:left="180" w:hanging="180" w:hangingChars="100"/>
        <w:rPr>
          <w:rFonts w:ascii="宋体" w:hAnsi="宋体"/>
          <w:sz w:val="18"/>
          <w:szCs w:val="18"/>
        </w:rPr>
      </w:pPr>
      <w:r>
        <w:rPr>
          <w:rFonts w:hint="eastAsia" w:ascii="宋体" w:hAnsi="宋体"/>
          <w:sz w:val="18"/>
          <w:szCs w:val="18"/>
        </w:rPr>
        <w:footnoteRef/>
      </w:r>
      <w:r>
        <w:rPr>
          <w:rFonts w:hint="eastAsia" w:ascii="宋体" w:hAnsi="宋体"/>
          <w:sz w:val="18"/>
          <w:szCs w:val="18"/>
        </w:rPr>
        <w:t>项目经理或项目技术负责人未经发包人同意擅自离开工地，每天课以不超过3000元/人的违约金，若每月在工地天数不足20天（特殊情况经监理人批准报发包人同意例外）者，每不足一天额外课以不超过1000元／人的违约金；承包人未经发包人书面同意更换项目经理</w:t>
      </w:r>
      <w:r>
        <w:rPr>
          <w:rFonts w:hint="eastAsia" w:ascii="宋体" w:hAnsi="宋体"/>
          <w:sz w:val="18"/>
          <w:szCs w:val="18"/>
          <w:lang w:eastAsia="zh-CN"/>
        </w:rPr>
        <w:t>、</w:t>
      </w:r>
      <w:r>
        <w:rPr>
          <w:rFonts w:hint="eastAsia" w:ascii="宋体" w:hAnsi="宋体"/>
          <w:sz w:val="18"/>
          <w:szCs w:val="18"/>
        </w:rPr>
        <w:t>项目技术负责人</w:t>
      </w:r>
      <w:r>
        <w:rPr>
          <w:rFonts w:hint="eastAsia" w:ascii="宋体" w:hAnsi="宋体"/>
          <w:sz w:val="18"/>
          <w:szCs w:val="18"/>
          <w:lang w:val="en-US" w:eastAsia="zh-CN"/>
        </w:rPr>
        <w:t>和安全负责人</w:t>
      </w:r>
      <w:r>
        <w:rPr>
          <w:rFonts w:hint="eastAsia" w:ascii="宋体" w:hAnsi="宋体"/>
          <w:sz w:val="18"/>
          <w:szCs w:val="18"/>
        </w:rPr>
        <w:t>课以不超过</w:t>
      </w:r>
      <w:r>
        <w:rPr>
          <w:rFonts w:ascii="宋体" w:hAnsi="宋体"/>
          <w:sz w:val="18"/>
          <w:szCs w:val="18"/>
        </w:rPr>
        <w:t>5</w:t>
      </w:r>
      <w:r>
        <w:rPr>
          <w:rFonts w:hint="eastAsia" w:ascii="宋体" w:hAnsi="宋体"/>
          <w:sz w:val="18"/>
          <w:szCs w:val="18"/>
        </w:rPr>
        <w:t>万元/人次的违约金，更换其他主要人员课以不超过</w:t>
      </w:r>
      <w:r>
        <w:rPr>
          <w:rFonts w:ascii="宋体" w:hAnsi="宋体"/>
          <w:sz w:val="18"/>
          <w:szCs w:val="18"/>
        </w:rPr>
        <w:t>1</w:t>
      </w:r>
      <w:r>
        <w:rPr>
          <w:rFonts w:hint="eastAsia" w:ascii="宋体" w:hAnsi="宋体"/>
          <w:sz w:val="18"/>
          <w:szCs w:val="18"/>
        </w:rPr>
        <w:t>万元/人次的违约金</w:t>
      </w:r>
      <w:r>
        <w:rPr>
          <w:rFonts w:hint="eastAsia" w:ascii="宋体" w:hAnsi="宋体"/>
          <w:sz w:val="18"/>
          <w:szCs w:val="18"/>
          <w:lang w:eastAsia="zh-CN"/>
        </w:rPr>
        <w:t>，</w:t>
      </w:r>
      <w:r>
        <w:rPr>
          <w:rFonts w:hint="eastAsia" w:ascii="宋体" w:hAnsi="宋体"/>
          <w:sz w:val="18"/>
          <w:szCs w:val="18"/>
          <w:lang w:val="en-US" w:eastAsia="zh-CN"/>
        </w:rPr>
        <w:t>经发包人同意更换的违约金减半</w:t>
      </w:r>
      <w:r>
        <w:rPr>
          <w:rFonts w:hint="eastAsia" w:ascii="宋体" w:hAnsi="宋体"/>
          <w:sz w:val="18"/>
          <w:szCs w:val="18"/>
        </w:rPr>
        <w:t>。</w:t>
      </w:r>
    </w:p>
  </w:footnote>
  <w:footnote w:id="27">
    <w:p w14:paraId="3DB3AA20">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本条应根据工程实际情况编写。</w:t>
      </w:r>
    </w:p>
  </w:footnote>
  <w:footnote w:id="28">
    <w:p w14:paraId="792E2769">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lang w:eastAsia="zh-CN"/>
        </w:rPr>
        <w:t>发包人</w:t>
      </w:r>
      <w:r>
        <w:rPr>
          <w:rFonts w:hint="eastAsia" w:ascii="宋体" w:hAnsi="宋体"/>
          <w:sz w:val="18"/>
          <w:szCs w:val="18"/>
        </w:rPr>
        <w:t>应在</w:t>
      </w:r>
      <w:r>
        <w:rPr>
          <w:rFonts w:hint="eastAsia" w:ascii="宋体" w:hAnsi="宋体"/>
          <w:sz w:val="18"/>
          <w:szCs w:val="18"/>
          <w:lang w:eastAsia="zh-CN"/>
        </w:rPr>
        <w:t>发包文件</w:t>
      </w:r>
      <w:r>
        <w:rPr>
          <w:rFonts w:hint="eastAsia" w:ascii="宋体" w:hAnsi="宋体"/>
          <w:sz w:val="18"/>
          <w:szCs w:val="18"/>
        </w:rPr>
        <w:t>中规定若</w:t>
      </w:r>
      <w:r>
        <w:rPr>
          <w:rFonts w:hint="eastAsia" w:ascii="宋体" w:hAnsi="宋体"/>
          <w:sz w:val="18"/>
          <w:szCs w:val="18"/>
          <w:lang w:eastAsia="zh-CN"/>
        </w:rPr>
        <w:t>竞包人</w:t>
      </w:r>
      <w:r>
        <w:rPr>
          <w:rFonts w:hint="eastAsia" w:ascii="宋体" w:hAnsi="宋体"/>
          <w:sz w:val="18"/>
          <w:szCs w:val="18"/>
          <w:lang w:val="en-US" w:eastAsia="zh-CN"/>
        </w:rPr>
        <w:t>预承包</w:t>
      </w:r>
      <w:r>
        <w:rPr>
          <w:rFonts w:hint="eastAsia" w:ascii="宋体" w:hAnsi="宋体"/>
          <w:sz w:val="18"/>
          <w:szCs w:val="18"/>
        </w:rPr>
        <w:t>需派驻的其他管理和技术人员（例如项目副经理、专业工程师等）。上述人员应提供</w:t>
      </w:r>
      <w:r>
        <w:rPr>
          <w:rFonts w:hint="eastAsia" w:ascii="宋体" w:hAnsi="宋体"/>
          <w:sz w:val="18"/>
          <w:szCs w:val="18"/>
          <w:lang w:eastAsia="zh-CN"/>
        </w:rPr>
        <w:t>竞包</w:t>
      </w:r>
      <w:r>
        <w:rPr>
          <w:rFonts w:hint="eastAsia" w:ascii="宋体" w:hAnsi="宋体"/>
          <w:sz w:val="18"/>
          <w:szCs w:val="18"/>
        </w:rPr>
        <w:t>截止期前已在</w:t>
      </w:r>
      <w:r>
        <w:rPr>
          <w:rFonts w:hint="eastAsia" w:ascii="宋体" w:hAnsi="宋体"/>
          <w:sz w:val="18"/>
          <w:szCs w:val="18"/>
          <w:lang w:eastAsia="zh-CN"/>
        </w:rPr>
        <w:t>竞包人</w:t>
      </w:r>
      <w:r>
        <w:rPr>
          <w:rFonts w:hint="eastAsia" w:ascii="宋体" w:hAnsi="宋体"/>
          <w:sz w:val="18"/>
          <w:szCs w:val="18"/>
        </w:rPr>
        <w:t>单位缴纳社保的证明，具体人选由</w:t>
      </w:r>
      <w:r>
        <w:rPr>
          <w:rFonts w:hint="eastAsia" w:ascii="宋体" w:hAnsi="宋体"/>
          <w:sz w:val="18"/>
          <w:szCs w:val="18"/>
          <w:lang w:eastAsia="zh-CN"/>
        </w:rPr>
        <w:t>发包人</w:t>
      </w:r>
      <w:r>
        <w:rPr>
          <w:rFonts w:hint="eastAsia" w:ascii="宋体" w:hAnsi="宋体"/>
          <w:sz w:val="18"/>
          <w:szCs w:val="18"/>
        </w:rPr>
        <w:t>和</w:t>
      </w:r>
      <w:r>
        <w:rPr>
          <w:rFonts w:hint="eastAsia" w:ascii="宋体" w:hAnsi="宋体"/>
          <w:sz w:val="18"/>
          <w:szCs w:val="18"/>
          <w:lang w:val="en-US" w:eastAsia="zh-CN"/>
        </w:rPr>
        <w:t>预承包</w:t>
      </w:r>
      <w:r>
        <w:rPr>
          <w:rFonts w:hint="eastAsia" w:ascii="宋体" w:hAnsi="宋体"/>
          <w:sz w:val="18"/>
          <w:szCs w:val="18"/>
        </w:rPr>
        <w:t>人在合同谈判阶段确定，且经</w:t>
      </w:r>
      <w:r>
        <w:rPr>
          <w:rFonts w:hint="eastAsia" w:ascii="宋体" w:hAnsi="宋体"/>
          <w:sz w:val="18"/>
          <w:szCs w:val="18"/>
          <w:lang w:eastAsia="zh-CN"/>
        </w:rPr>
        <w:t>发包人</w:t>
      </w:r>
      <w:r>
        <w:rPr>
          <w:rFonts w:hint="eastAsia" w:ascii="宋体" w:hAnsi="宋体"/>
          <w:sz w:val="18"/>
          <w:szCs w:val="18"/>
        </w:rPr>
        <w:t>审批后作为派驻本标段的项目管理机构主要人员，</w:t>
      </w:r>
      <w:r>
        <w:rPr>
          <w:rFonts w:hint="eastAsia" w:ascii="宋体" w:hAnsi="宋体"/>
          <w:sz w:val="18"/>
          <w:szCs w:val="18"/>
          <w:lang w:val="en-US" w:eastAsia="zh-CN"/>
        </w:rPr>
        <w:t>原则</w:t>
      </w:r>
      <w:r>
        <w:rPr>
          <w:rFonts w:hint="eastAsia" w:ascii="宋体" w:hAnsi="宋体"/>
          <w:sz w:val="18"/>
          <w:szCs w:val="18"/>
        </w:rPr>
        <w:t>不允许更换。如</w:t>
      </w:r>
      <w:r>
        <w:rPr>
          <w:rFonts w:hint="eastAsia" w:ascii="宋体" w:hAnsi="宋体"/>
          <w:sz w:val="18"/>
          <w:szCs w:val="18"/>
          <w:lang w:val="en-US" w:eastAsia="zh-CN"/>
        </w:rPr>
        <w:t>预承包人</w:t>
      </w:r>
      <w:r>
        <w:rPr>
          <w:rFonts w:hint="eastAsia" w:ascii="宋体" w:hAnsi="宋体"/>
          <w:sz w:val="18"/>
          <w:szCs w:val="18"/>
        </w:rPr>
        <w:t>拟派驻的人员数量和资格条件不满足本表要求，</w:t>
      </w:r>
      <w:r>
        <w:rPr>
          <w:rFonts w:hint="eastAsia" w:ascii="宋体" w:hAnsi="宋体"/>
          <w:sz w:val="18"/>
          <w:szCs w:val="18"/>
          <w:lang w:eastAsia="zh-CN"/>
        </w:rPr>
        <w:t>发包人</w:t>
      </w:r>
      <w:r>
        <w:rPr>
          <w:rFonts w:hint="eastAsia" w:ascii="宋体" w:hAnsi="宋体"/>
          <w:sz w:val="18"/>
          <w:szCs w:val="18"/>
        </w:rPr>
        <w:t>应取消其</w:t>
      </w:r>
      <w:r>
        <w:rPr>
          <w:rFonts w:hint="eastAsia" w:ascii="宋体" w:hAnsi="宋体"/>
          <w:sz w:val="18"/>
          <w:szCs w:val="18"/>
          <w:lang w:val="en-US" w:eastAsia="zh-CN"/>
        </w:rPr>
        <w:t>预承包</w:t>
      </w:r>
      <w:r>
        <w:rPr>
          <w:rFonts w:hint="eastAsia" w:ascii="宋体" w:hAnsi="宋体"/>
          <w:sz w:val="18"/>
          <w:szCs w:val="18"/>
        </w:rPr>
        <w:t>资格。</w:t>
      </w:r>
    </w:p>
    <w:p w14:paraId="65A74ED1">
      <w:pPr>
        <w:spacing w:line="300" w:lineRule="exact"/>
        <w:ind w:left="181" w:leftChars="86"/>
        <w:rPr>
          <w:rFonts w:ascii="宋体" w:hAnsi="宋体"/>
          <w:sz w:val="18"/>
          <w:szCs w:val="18"/>
        </w:rPr>
      </w:pPr>
    </w:p>
  </w:footnote>
  <w:footnote w:id="29">
    <w:p w14:paraId="6F6C1E6A">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lang w:eastAsia="zh-CN"/>
        </w:rPr>
        <w:t>发包人</w:t>
      </w:r>
      <w:r>
        <w:rPr>
          <w:rFonts w:hint="eastAsia" w:ascii="宋体" w:hAnsi="宋体"/>
          <w:sz w:val="18"/>
          <w:szCs w:val="18"/>
        </w:rPr>
        <w:t>应在</w:t>
      </w:r>
      <w:r>
        <w:rPr>
          <w:rFonts w:hint="eastAsia" w:ascii="宋体" w:hAnsi="宋体"/>
          <w:sz w:val="18"/>
          <w:szCs w:val="18"/>
          <w:lang w:eastAsia="zh-CN"/>
        </w:rPr>
        <w:t>发包文件</w:t>
      </w:r>
      <w:r>
        <w:rPr>
          <w:rFonts w:hint="eastAsia" w:ascii="宋体" w:hAnsi="宋体"/>
          <w:sz w:val="18"/>
          <w:szCs w:val="18"/>
        </w:rPr>
        <w:t>中规定若</w:t>
      </w:r>
      <w:r>
        <w:rPr>
          <w:rFonts w:hint="eastAsia" w:ascii="宋体" w:hAnsi="宋体"/>
          <w:sz w:val="18"/>
          <w:szCs w:val="18"/>
          <w:lang w:eastAsia="zh-CN"/>
        </w:rPr>
        <w:t>竞包人</w:t>
      </w:r>
      <w:r>
        <w:rPr>
          <w:rFonts w:hint="eastAsia" w:ascii="宋体" w:hAnsi="宋体"/>
          <w:sz w:val="18"/>
          <w:szCs w:val="18"/>
          <w:lang w:val="en-US" w:eastAsia="zh-CN"/>
        </w:rPr>
        <w:t>预承包</w:t>
      </w:r>
      <w:r>
        <w:rPr>
          <w:rFonts w:hint="eastAsia" w:ascii="宋体" w:hAnsi="宋体"/>
          <w:sz w:val="18"/>
          <w:szCs w:val="18"/>
        </w:rPr>
        <w:t>需提供的主要机械设备和试验检测设备。</w:t>
      </w:r>
      <w:r>
        <w:rPr>
          <w:rFonts w:hint="eastAsia" w:ascii="宋体" w:hAnsi="宋体"/>
          <w:sz w:val="18"/>
          <w:szCs w:val="18"/>
          <w:lang w:eastAsia="zh-CN"/>
        </w:rPr>
        <w:t>发包人</w:t>
      </w:r>
      <w:r>
        <w:rPr>
          <w:rFonts w:hint="eastAsia" w:ascii="宋体" w:hAnsi="宋体"/>
          <w:sz w:val="18"/>
          <w:szCs w:val="18"/>
        </w:rPr>
        <w:t>将在合同谈判阶段要求</w:t>
      </w:r>
      <w:r>
        <w:rPr>
          <w:rFonts w:hint="eastAsia" w:ascii="宋体" w:hAnsi="宋体"/>
          <w:sz w:val="18"/>
          <w:szCs w:val="18"/>
          <w:lang w:val="en-US" w:eastAsia="zh-CN"/>
        </w:rPr>
        <w:t>预承包人</w:t>
      </w:r>
      <w:r>
        <w:rPr>
          <w:rFonts w:hint="eastAsia" w:ascii="宋体" w:hAnsi="宋体"/>
          <w:sz w:val="18"/>
          <w:szCs w:val="18"/>
        </w:rPr>
        <w:t>按照本表的最低要求填报为本标段配备的主要设备，在经</w:t>
      </w:r>
      <w:r>
        <w:rPr>
          <w:rFonts w:hint="eastAsia" w:ascii="宋体" w:hAnsi="宋体"/>
          <w:sz w:val="18"/>
          <w:szCs w:val="18"/>
          <w:lang w:eastAsia="zh-CN"/>
        </w:rPr>
        <w:t>发包人</w:t>
      </w:r>
      <w:r>
        <w:rPr>
          <w:rFonts w:hint="eastAsia" w:ascii="宋体" w:hAnsi="宋体"/>
          <w:sz w:val="18"/>
          <w:szCs w:val="18"/>
        </w:rPr>
        <w:t>审批后作为投入本标段的主要设备且不允许更换。如</w:t>
      </w:r>
      <w:r>
        <w:rPr>
          <w:rFonts w:hint="eastAsia" w:ascii="宋体" w:hAnsi="宋体"/>
          <w:sz w:val="18"/>
          <w:szCs w:val="18"/>
          <w:lang w:eastAsia="zh-CN"/>
        </w:rPr>
        <w:t>发包人</w:t>
      </w:r>
      <w:r>
        <w:rPr>
          <w:rFonts w:hint="eastAsia" w:ascii="宋体" w:hAnsi="宋体"/>
          <w:sz w:val="18"/>
          <w:szCs w:val="18"/>
        </w:rPr>
        <w:t>拟提供的设备数量和规格指标等不满足本表要求，</w:t>
      </w:r>
      <w:r>
        <w:rPr>
          <w:rFonts w:hint="eastAsia" w:ascii="宋体" w:hAnsi="宋体"/>
          <w:sz w:val="18"/>
          <w:szCs w:val="18"/>
          <w:lang w:eastAsia="zh-CN"/>
        </w:rPr>
        <w:t>发包人</w:t>
      </w:r>
      <w:r>
        <w:rPr>
          <w:rFonts w:hint="eastAsia" w:ascii="宋体" w:hAnsi="宋体"/>
          <w:sz w:val="18"/>
          <w:szCs w:val="18"/>
        </w:rPr>
        <w:t>应取消其</w:t>
      </w:r>
      <w:r>
        <w:rPr>
          <w:rFonts w:hint="eastAsia" w:ascii="宋体" w:hAnsi="宋体"/>
          <w:sz w:val="18"/>
          <w:szCs w:val="18"/>
          <w:lang w:val="en-US" w:eastAsia="zh-CN"/>
        </w:rPr>
        <w:t>预承包</w:t>
      </w:r>
      <w:r>
        <w:rPr>
          <w:rFonts w:hint="eastAsia" w:ascii="宋体" w:hAnsi="宋体"/>
          <w:sz w:val="18"/>
          <w:szCs w:val="18"/>
        </w:rPr>
        <w:t>资格。</w:t>
      </w:r>
    </w:p>
    <w:p w14:paraId="363A738B">
      <w:pPr>
        <w:spacing w:line="300" w:lineRule="exact"/>
        <w:ind w:left="181" w:leftChars="86"/>
        <w:rPr>
          <w:rFonts w:ascii="宋体" w:hAnsi="宋体"/>
          <w:sz w:val="18"/>
          <w:szCs w:val="18"/>
        </w:rPr>
      </w:pPr>
    </w:p>
  </w:footnote>
  <w:footnote w:id="30">
    <w:p w14:paraId="3CA0F2AA">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本条内容可修改为：</w:t>
      </w:r>
      <w:r>
        <w:rPr>
          <w:sz w:val="18"/>
          <w:szCs w:val="18"/>
        </w:rPr>
        <w:t>“本担保自</w:t>
      </w:r>
      <w:r>
        <w:rPr>
          <w:rFonts w:eastAsia="Times New Roman"/>
          <w:sz w:val="18"/>
          <w:szCs w:val="18"/>
          <w:u w:val="single" w:color="000000"/>
        </w:rPr>
        <w:t xml:space="preserve">         </w:t>
      </w:r>
      <w:r>
        <w:rPr>
          <w:sz w:val="18"/>
          <w:szCs w:val="18"/>
        </w:rPr>
        <w:t>（生效日期）之日起生效，至</w:t>
      </w:r>
      <w:r>
        <w:rPr>
          <w:rFonts w:eastAsia="Times New Roman"/>
          <w:sz w:val="18"/>
          <w:szCs w:val="18"/>
          <w:u w:val="single" w:color="000000"/>
        </w:rPr>
        <w:t xml:space="preserve">         </w:t>
      </w:r>
      <w:r>
        <w:rPr>
          <w:sz w:val="18"/>
          <w:szCs w:val="18"/>
        </w:rPr>
        <w:t>（失效日期）之日失效。”</w:t>
      </w:r>
      <w:r>
        <w:rPr>
          <w:rFonts w:eastAsia="Times New Roman"/>
          <w:sz w:val="18"/>
          <w:szCs w:val="18"/>
        </w:rPr>
        <w:t xml:space="preserve"> </w:t>
      </w:r>
      <w:r>
        <w:rPr>
          <w:sz w:val="18"/>
          <w:szCs w:val="18"/>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 w:id="31">
    <w:p w14:paraId="41A64F5E">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“技术规范”由</w:t>
      </w:r>
      <w:r>
        <w:rPr>
          <w:rFonts w:hint="eastAsia" w:ascii="宋体" w:hAnsi="宋体"/>
          <w:sz w:val="18"/>
          <w:szCs w:val="18"/>
          <w:lang w:eastAsia="zh-CN"/>
        </w:rPr>
        <w:t>发包人</w:t>
      </w:r>
      <w:r>
        <w:rPr>
          <w:rFonts w:hint="eastAsia" w:ascii="宋体" w:hAnsi="宋体"/>
          <w:sz w:val="18"/>
          <w:szCs w:val="18"/>
        </w:rPr>
        <w:t>根据《公路工程标准施工招标文件》、</w:t>
      </w:r>
      <w:r>
        <w:rPr>
          <w:rFonts w:hint="eastAsia" w:ascii="宋体" w:hAnsi="宋体"/>
          <w:sz w:val="18"/>
          <w:szCs w:val="18"/>
          <w:lang w:eastAsia="zh-CN"/>
        </w:rPr>
        <w:t>发包</w:t>
      </w:r>
      <w:r>
        <w:rPr>
          <w:rFonts w:hint="eastAsia" w:ascii="宋体" w:hAnsi="宋体"/>
          <w:sz w:val="18"/>
          <w:szCs w:val="18"/>
        </w:rPr>
        <w:t>项目具体特点和实际需要编制。“技术规范”中的各项技术标准应符合国家强制性标准，不得要求或标明某一特定的专利、商标、名称、设计、原产地或生产供应者，不得含有倾向或者排斥潜在</w:t>
      </w:r>
      <w:r>
        <w:rPr>
          <w:rFonts w:hint="eastAsia" w:ascii="宋体" w:hAnsi="宋体"/>
          <w:sz w:val="18"/>
          <w:szCs w:val="18"/>
          <w:lang w:eastAsia="zh-CN"/>
        </w:rPr>
        <w:t>竞包人</w:t>
      </w:r>
      <w:r>
        <w:rPr>
          <w:rFonts w:hint="eastAsia" w:ascii="宋体" w:hAnsi="宋体"/>
          <w:sz w:val="18"/>
          <w:szCs w:val="18"/>
        </w:rPr>
        <w:t>的其他内容。如果必须引用某一生产供应者的技术标准才能准确或清楚地说明拟</w:t>
      </w:r>
      <w:r>
        <w:rPr>
          <w:rFonts w:hint="eastAsia" w:ascii="宋体" w:hAnsi="宋体"/>
          <w:sz w:val="18"/>
          <w:szCs w:val="18"/>
          <w:lang w:eastAsia="zh-CN"/>
        </w:rPr>
        <w:t>发包</w:t>
      </w:r>
      <w:r>
        <w:rPr>
          <w:rFonts w:hint="eastAsia" w:ascii="宋体" w:hAnsi="宋体"/>
          <w:sz w:val="18"/>
          <w:szCs w:val="18"/>
        </w:rPr>
        <w:t>项目的技术标准时，则应当在参照后面加上“或相当于”字样。</w:t>
      </w:r>
    </w:p>
  </w:footnote>
  <w:footnote w:id="32">
    <w:p w14:paraId="64F1747A">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lang w:eastAsia="zh-CN"/>
        </w:rPr>
        <w:t>发包人</w:t>
      </w:r>
      <w:r>
        <w:rPr>
          <w:rFonts w:hint="eastAsia" w:ascii="宋体" w:hAnsi="宋体"/>
          <w:sz w:val="18"/>
          <w:szCs w:val="18"/>
        </w:rPr>
        <w:t>可根据项目实际情况对本项目通用技术规范进行补充、删除和修改，不限于本项目专用技术规范编列的内容。</w:t>
      </w:r>
    </w:p>
  </w:footnote>
  <w:footnote w:id="33">
    <w:p w14:paraId="402F229E">
      <w:pPr>
        <w:spacing w:line="300" w:lineRule="exact"/>
        <w:ind w:left="180" w:hanging="180" w:hangingChars="100"/>
        <w:rPr>
          <w:rFonts w:ascii="宋体" w:hAnsi="宋体"/>
          <w:sz w:val="18"/>
          <w:szCs w:val="18"/>
        </w:rPr>
      </w:pPr>
      <w:r>
        <w:rPr>
          <w:rFonts w:ascii="宋体" w:hAnsi="宋体"/>
          <w:sz w:val="18"/>
          <w:szCs w:val="18"/>
        </w:rPr>
        <w:footnoteRef/>
      </w:r>
      <w:r>
        <w:rPr>
          <w:rFonts w:ascii="宋体" w:hAnsi="宋体"/>
          <w:sz w:val="18"/>
          <w:szCs w:val="18"/>
        </w:rPr>
        <w:t xml:space="preserve"> </w:t>
      </w:r>
      <w:r>
        <w:rPr>
          <w:rFonts w:hint="eastAsia" w:ascii="宋体" w:hAnsi="宋体"/>
          <w:sz w:val="18"/>
          <w:szCs w:val="18"/>
        </w:rPr>
        <w:t>根据项目</w:t>
      </w:r>
      <w:r>
        <w:rPr>
          <w:rFonts w:ascii="宋体" w:hAnsi="宋体"/>
          <w:sz w:val="18"/>
          <w:szCs w:val="18"/>
        </w:rPr>
        <w:t>实际列明质量通病防治</w:t>
      </w:r>
      <w:r>
        <w:rPr>
          <w:rFonts w:hint="eastAsia" w:ascii="宋体" w:hAnsi="宋体"/>
          <w:sz w:val="18"/>
          <w:szCs w:val="18"/>
        </w:rPr>
        <w:t>。</w:t>
      </w:r>
    </w:p>
  </w:footnote>
  <w:footnote w:id="34">
    <w:p w14:paraId="578553A0">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lang w:eastAsia="zh-CN"/>
        </w:rPr>
        <w:t>发包人</w:t>
      </w:r>
      <w:r>
        <w:rPr>
          <w:rFonts w:hint="eastAsia" w:ascii="宋体" w:hAnsi="宋体"/>
          <w:sz w:val="18"/>
          <w:szCs w:val="18"/>
        </w:rPr>
        <w:t>可结合</w:t>
      </w:r>
      <w:r>
        <w:rPr>
          <w:rFonts w:hint="eastAsia" w:ascii="宋体" w:hAnsi="宋体"/>
          <w:sz w:val="18"/>
          <w:szCs w:val="18"/>
          <w:lang w:eastAsia="zh-CN"/>
        </w:rPr>
        <w:t>发包</w:t>
      </w:r>
      <w:r>
        <w:rPr>
          <w:rFonts w:hint="eastAsia" w:ascii="宋体" w:hAnsi="宋体"/>
          <w:sz w:val="18"/>
          <w:szCs w:val="18"/>
        </w:rPr>
        <w:t>项目具体特点和实际需要，对本章内容进行补充、细化。</w:t>
      </w:r>
    </w:p>
  </w:footnote>
  <w:footnote w:id="35">
    <w:p w14:paraId="0E0D45A5">
      <w:pPr>
        <w:spacing w:line="300" w:lineRule="exact"/>
        <w:ind w:left="180" w:hanging="180" w:hangingChars="100"/>
        <w:rPr>
          <w:rFonts w:ascii="宋体" w:hAnsi="宋体"/>
          <w:sz w:val="18"/>
          <w:szCs w:val="18"/>
        </w:rPr>
      </w:pPr>
      <w:r>
        <w:rPr>
          <w:rFonts w:ascii="宋体" w:hAnsi="宋体"/>
          <w:sz w:val="18"/>
          <w:szCs w:val="18"/>
        </w:rPr>
        <w:footnoteRef/>
      </w:r>
      <w:r>
        <w:rPr>
          <w:rFonts w:hint="eastAsia" w:ascii="宋体" w:hAnsi="宋体"/>
          <w:sz w:val="18"/>
          <w:szCs w:val="18"/>
        </w:rPr>
        <w:t>如果由</w:t>
      </w:r>
      <w:r>
        <w:rPr>
          <w:rFonts w:hint="eastAsia" w:ascii="宋体" w:hAnsi="宋体"/>
          <w:sz w:val="18"/>
          <w:szCs w:val="18"/>
          <w:lang w:eastAsia="zh-CN"/>
        </w:rPr>
        <w:t>竞包人</w:t>
      </w:r>
      <w:r>
        <w:rPr>
          <w:rFonts w:hint="eastAsia" w:ascii="宋体" w:hAnsi="宋体"/>
          <w:sz w:val="18"/>
          <w:szCs w:val="18"/>
        </w:rPr>
        <w:t>的法定代表人签署</w:t>
      </w:r>
      <w:r>
        <w:rPr>
          <w:rFonts w:hint="eastAsia" w:ascii="宋体" w:hAnsi="宋体"/>
          <w:sz w:val="18"/>
          <w:szCs w:val="18"/>
          <w:lang w:eastAsia="zh-CN"/>
        </w:rPr>
        <w:t>竞包</w:t>
      </w:r>
      <w:r>
        <w:rPr>
          <w:rFonts w:hint="eastAsia" w:ascii="宋体" w:hAnsi="宋体"/>
          <w:sz w:val="18"/>
          <w:szCs w:val="18"/>
        </w:rPr>
        <w:t>文件，则不需提交授权委托书。</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9055">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66CE">
    <w:pPr>
      <w:pStyle w:val="3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D1AC">
    <w:pPr>
      <w:jc w:val="right"/>
      <w:rPr>
        <w:rFonts w:asci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E2EA">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4A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5B8FA">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8EDB">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0A12">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8000">
    <w:pPr>
      <w:jc w:val="both"/>
      <w:rPr>
        <w:rFonts w:ascii="黑体" w:eastAsia="黑体"/>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FC5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163F">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BF357"/>
    <w:multiLevelType w:val="singleLevel"/>
    <w:tmpl w:val="A3DBF357"/>
    <w:lvl w:ilvl="0" w:tentative="0">
      <w:start w:val="3"/>
      <w:numFmt w:val="chineseCounting"/>
      <w:suff w:val="space"/>
      <w:lvlText w:val="第%1章"/>
      <w:lvlJc w:val="left"/>
      <w:rPr>
        <w:rFonts w:hint="eastAsia"/>
      </w:rPr>
    </w:lvl>
  </w:abstractNum>
  <w:abstractNum w:abstractNumId="1">
    <w:nsid w:val="33CFCA45"/>
    <w:multiLevelType w:val="singleLevel"/>
    <w:tmpl w:val="33CFCA45"/>
    <w:lvl w:ilvl="0" w:tentative="0">
      <w:start w:val="1"/>
      <w:numFmt w:val="chineseCounting"/>
      <w:suff w:val="nothing"/>
      <w:lvlText w:val="（%1）"/>
      <w:lvlJc w:val="left"/>
      <w:rPr>
        <w:rFonts w:hint="eastAsia"/>
      </w:rPr>
    </w:lvl>
  </w:abstractNum>
  <w:abstractNum w:abstractNumId="2">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footnotePr>
    <w:numFmt w:val="decimalEnclosedCircleChinese"/>
    <w:numRestart w:val="eachPage"/>
    <w:footnote w:id="72"/>
    <w:footnote w:id="7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GMxMjJjNTczN2UxYzUwYzUwZTAyOWFmNjY1OTUifQ=="/>
  </w:docVars>
  <w:rsids>
    <w:rsidRoot w:val="00172A27"/>
    <w:rsid w:val="000002A6"/>
    <w:rsid w:val="00001725"/>
    <w:rsid w:val="00002103"/>
    <w:rsid w:val="00002389"/>
    <w:rsid w:val="000029D0"/>
    <w:rsid w:val="00002E5A"/>
    <w:rsid w:val="000051F0"/>
    <w:rsid w:val="000065FF"/>
    <w:rsid w:val="000068FA"/>
    <w:rsid w:val="00006D61"/>
    <w:rsid w:val="00010860"/>
    <w:rsid w:val="00010A25"/>
    <w:rsid w:val="00011DC7"/>
    <w:rsid w:val="000125EE"/>
    <w:rsid w:val="00012707"/>
    <w:rsid w:val="00013430"/>
    <w:rsid w:val="00014F19"/>
    <w:rsid w:val="00015427"/>
    <w:rsid w:val="00015597"/>
    <w:rsid w:val="000157F9"/>
    <w:rsid w:val="00015922"/>
    <w:rsid w:val="00016D26"/>
    <w:rsid w:val="00017893"/>
    <w:rsid w:val="00017BDC"/>
    <w:rsid w:val="00021691"/>
    <w:rsid w:val="00022013"/>
    <w:rsid w:val="000222B0"/>
    <w:rsid w:val="0002311F"/>
    <w:rsid w:val="00024667"/>
    <w:rsid w:val="00024789"/>
    <w:rsid w:val="000249A7"/>
    <w:rsid w:val="000249E5"/>
    <w:rsid w:val="00024CBA"/>
    <w:rsid w:val="00026415"/>
    <w:rsid w:val="0002654E"/>
    <w:rsid w:val="00030700"/>
    <w:rsid w:val="00030C48"/>
    <w:rsid w:val="00031CBE"/>
    <w:rsid w:val="00032352"/>
    <w:rsid w:val="00033858"/>
    <w:rsid w:val="000344C8"/>
    <w:rsid w:val="00034595"/>
    <w:rsid w:val="00035F48"/>
    <w:rsid w:val="00037ED9"/>
    <w:rsid w:val="00040837"/>
    <w:rsid w:val="00040E05"/>
    <w:rsid w:val="00041A6E"/>
    <w:rsid w:val="00042254"/>
    <w:rsid w:val="0004231C"/>
    <w:rsid w:val="0004284E"/>
    <w:rsid w:val="000431B0"/>
    <w:rsid w:val="00044CEB"/>
    <w:rsid w:val="00046478"/>
    <w:rsid w:val="000468CD"/>
    <w:rsid w:val="00046BB4"/>
    <w:rsid w:val="00047349"/>
    <w:rsid w:val="000501EE"/>
    <w:rsid w:val="00050273"/>
    <w:rsid w:val="00050844"/>
    <w:rsid w:val="0005127E"/>
    <w:rsid w:val="000512DA"/>
    <w:rsid w:val="00051A16"/>
    <w:rsid w:val="00052250"/>
    <w:rsid w:val="00052AB5"/>
    <w:rsid w:val="000538A9"/>
    <w:rsid w:val="00053A73"/>
    <w:rsid w:val="00054C1F"/>
    <w:rsid w:val="00054E03"/>
    <w:rsid w:val="000552E3"/>
    <w:rsid w:val="0005549C"/>
    <w:rsid w:val="00055C59"/>
    <w:rsid w:val="0005602F"/>
    <w:rsid w:val="00057205"/>
    <w:rsid w:val="00060F42"/>
    <w:rsid w:val="0006185F"/>
    <w:rsid w:val="00061F9E"/>
    <w:rsid w:val="00062149"/>
    <w:rsid w:val="00062DB0"/>
    <w:rsid w:val="00062E08"/>
    <w:rsid w:val="00063C2A"/>
    <w:rsid w:val="00063E45"/>
    <w:rsid w:val="00063F07"/>
    <w:rsid w:val="000650BC"/>
    <w:rsid w:val="00065940"/>
    <w:rsid w:val="000666A9"/>
    <w:rsid w:val="00067418"/>
    <w:rsid w:val="0007002D"/>
    <w:rsid w:val="00070111"/>
    <w:rsid w:val="00071A6F"/>
    <w:rsid w:val="00072295"/>
    <w:rsid w:val="00072DE6"/>
    <w:rsid w:val="00072E5A"/>
    <w:rsid w:val="00073B28"/>
    <w:rsid w:val="00073F98"/>
    <w:rsid w:val="00074650"/>
    <w:rsid w:val="000751CA"/>
    <w:rsid w:val="000752F4"/>
    <w:rsid w:val="000760E8"/>
    <w:rsid w:val="00080A63"/>
    <w:rsid w:val="000810E5"/>
    <w:rsid w:val="0008174D"/>
    <w:rsid w:val="00081A4D"/>
    <w:rsid w:val="000845EE"/>
    <w:rsid w:val="00084A22"/>
    <w:rsid w:val="00085419"/>
    <w:rsid w:val="0008660C"/>
    <w:rsid w:val="0008681B"/>
    <w:rsid w:val="000903D9"/>
    <w:rsid w:val="00090C25"/>
    <w:rsid w:val="00091F43"/>
    <w:rsid w:val="00093871"/>
    <w:rsid w:val="0009401B"/>
    <w:rsid w:val="000945BF"/>
    <w:rsid w:val="00095162"/>
    <w:rsid w:val="00095A08"/>
    <w:rsid w:val="00095D95"/>
    <w:rsid w:val="00096473"/>
    <w:rsid w:val="00097062"/>
    <w:rsid w:val="000A025D"/>
    <w:rsid w:val="000A0397"/>
    <w:rsid w:val="000A052A"/>
    <w:rsid w:val="000A0A57"/>
    <w:rsid w:val="000A0FFC"/>
    <w:rsid w:val="000A203D"/>
    <w:rsid w:val="000A34F8"/>
    <w:rsid w:val="000A3EBB"/>
    <w:rsid w:val="000A4470"/>
    <w:rsid w:val="000A494A"/>
    <w:rsid w:val="000A4BE5"/>
    <w:rsid w:val="000A4C5F"/>
    <w:rsid w:val="000A548C"/>
    <w:rsid w:val="000A5D54"/>
    <w:rsid w:val="000A69B0"/>
    <w:rsid w:val="000A7471"/>
    <w:rsid w:val="000A74F8"/>
    <w:rsid w:val="000B307E"/>
    <w:rsid w:val="000B3288"/>
    <w:rsid w:val="000B4752"/>
    <w:rsid w:val="000B4953"/>
    <w:rsid w:val="000B4AEF"/>
    <w:rsid w:val="000B5D6D"/>
    <w:rsid w:val="000B6F27"/>
    <w:rsid w:val="000C05B8"/>
    <w:rsid w:val="000C220B"/>
    <w:rsid w:val="000C2215"/>
    <w:rsid w:val="000C3C44"/>
    <w:rsid w:val="000C3F14"/>
    <w:rsid w:val="000C41D4"/>
    <w:rsid w:val="000C4637"/>
    <w:rsid w:val="000C4F84"/>
    <w:rsid w:val="000C5991"/>
    <w:rsid w:val="000C5D26"/>
    <w:rsid w:val="000D1671"/>
    <w:rsid w:val="000D1D49"/>
    <w:rsid w:val="000D2392"/>
    <w:rsid w:val="000D2712"/>
    <w:rsid w:val="000D3B89"/>
    <w:rsid w:val="000D5962"/>
    <w:rsid w:val="000D6346"/>
    <w:rsid w:val="000D6A40"/>
    <w:rsid w:val="000D7515"/>
    <w:rsid w:val="000E0D74"/>
    <w:rsid w:val="000E0FC6"/>
    <w:rsid w:val="000E1A08"/>
    <w:rsid w:val="000E1E5B"/>
    <w:rsid w:val="000E24AA"/>
    <w:rsid w:val="000E277B"/>
    <w:rsid w:val="000E2C6E"/>
    <w:rsid w:val="000E3820"/>
    <w:rsid w:val="000E5987"/>
    <w:rsid w:val="000E7021"/>
    <w:rsid w:val="000E70B5"/>
    <w:rsid w:val="000E7C1C"/>
    <w:rsid w:val="000F0540"/>
    <w:rsid w:val="000F450B"/>
    <w:rsid w:val="000F4BA0"/>
    <w:rsid w:val="000F4D67"/>
    <w:rsid w:val="000F65EC"/>
    <w:rsid w:val="000F6A12"/>
    <w:rsid w:val="000F70E6"/>
    <w:rsid w:val="000F7CDA"/>
    <w:rsid w:val="000F7E00"/>
    <w:rsid w:val="00100A5A"/>
    <w:rsid w:val="001016B4"/>
    <w:rsid w:val="00101711"/>
    <w:rsid w:val="00104918"/>
    <w:rsid w:val="00106A37"/>
    <w:rsid w:val="00107E81"/>
    <w:rsid w:val="00110403"/>
    <w:rsid w:val="00110D29"/>
    <w:rsid w:val="00110D46"/>
    <w:rsid w:val="0011116D"/>
    <w:rsid w:val="00111FCA"/>
    <w:rsid w:val="0011262F"/>
    <w:rsid w:val="001133EC"/>
    <w:rsid w:val="0011380B"/>
    <w:rsid w:val="00113AD9"/>
    <w:rsid w:val="0011418E"/>
    <w:rsid w:val="0011420C"/>
    <w:rsid w:val="0011462F"/>
    <w:rsid w:val="00116482"/>
    <w:rsid w:val="001172BB"/>
    <w:rsid w:val="001179CA"/>
    <w:rsid w:val="00120626"/>
    <w:rsid w:val="00121251"/>
    <w:rsid w:val="00121475"/>
    <w:rsid w:val="00121A5F"/>
    <w:rsid w:val="00121E64"/>
    <w:rsid w:val="00121F82"/>
    <w:rsid w:val="0012230F"/>
    <w:rsid w:val="0012302E"/>
    <w:rsid w:val="001237C9"/>
    <w:rsid w:val="00123EEE"/>
    <w:rsid w:val="00124559"/>
    <w:rsid w:val="00124783"/>
    <w:rsid w:val="00124B18"/>
    <w:rsid w:val="001251C5"/>
    <w:rsid w:val="00125266"/>
    <w:rsid w:val="001252EB"/>
    <w:rsid w:val="0012615C"/>
    <w:rsid w:val="00126A64"/>
    <w:rsid w:val="00126CD9"/>
    <w:rsid w:val="0012754D"/>
    <w:rsid w:val="00127EFB"/>
    <w:rsid w:val="001314AF"/>
    <w:rsid w:val="00131A1C"/>
    <w:rsid w:val="00131CAE"/>
    <w:rsid w:val="00131F5C"/>
    <w:rsid w:val="00133D94"/>
    <w:rsid w:val="00134319"/>
    <w:rsid w:val="001357FF"/>
    <w:rsid w:val="00135FA9"/>
    <w:rsid w:val="001362C9"/>
    <w:rsid w:val="00136B01"/>
    <w:rsid w:val="001370F7"/>
    <w:rsid w:val="00141AC3"/>
    <w:rsid w:val="00142959"/>
    <w:rsid w:val="001430A5"/>
    <w:rsid w:val="00143B2C"/>
    <w:rsid w:val="00143DBD"/>
    <w:rsid w:val="00143FBD"/>
    <w:rsid w:val="00146140"/>
    <w:rsid w:val="0014679B"/>
    <w:rsid w:val="001469BA"/>
    <w:rsid w:val="001475DE"/>
    <w:rsid w:val="0015029A"/>
    <w:rsid w:val="0015039B"/>
    <w:rsid w:val="00150AFD"/>
    <w:rsid w:val="001518F5"/>
    <w:rsid w:val="0015208C"/>
    <w:rsid w:val="0015268D"/>
    <w:rsid w:val="00152F5A"/>
    <w:rsid w:val="001544B4"/>
    <w:rsid w:val="0015492A"/>
    <w:rsid w:val="001554CD"/>
    <w:rsid w:val="001555DB"/>
    <w:rsid w:val="00155640"/>
    <w:rsid w:val="001559FE"/>
    <w:rsid w:val="00156D10"/>
    <w:rsid w:val="0015730F"/>
    <w:rsid w:val="00160B9B"/>
    <w:rsid w:val="00160D0A"/>
    <w:rsid w:val="00161081"/>
    <w:rsid w:val="0016158A"/>
    <w:rsid w:val="00161C15"/>
    <w:rsid w:val="00161F56"/>
    <w:rsid w:val="001631F1"/>
    <w:rsid w:val="0016361B"/>
    <w:rsid w:val="001648CB"/>
    <w:rsid w:val="0016599E"/>
    <w:rsid w:val="001669CB"/>
    <w:rsid w:val="0016728F"/>
    <w:rsid w:val="0016745C"/>
    <w:rsid w:val="00167F68"/>
    <w:rsid w:val="00170C8A"/>
    <w:rsid w:val="001720CD"/>
    <w:rsid w:val="0017310D"/>
    <w:rsid w:val="001755A4"/>
    <w:rsid w:val="00175C91"/>
    <w:rsid w:val="00176490"/>
    <w:rsid w:val="001765C1"/>
    <w:rsid w:val="00176741"/>
    <w:rsid w:val="00180998"/>
    <w:rsid w:val="001809F5"/>
    <w:rsid w:val="00180CC7"/>
    <w:rsid w:val="00180D6B"/>
    <w:rsid w:val="00181210"/>
    <w:rsid w:val="00181820"/>
    <w:rsid w:val="00181C39"/>
    <w:rsid w:val="001822CD"/>
    <w:rsid w:val="001824C1"/>
    <w:rsid w:val="00183157"/>
    <w:rsid w:val="00183316"/>
    <w:rsid w:val="00184266"/>
    <w:rsid w:val="00184A2F"/>
    <w:rsid w:val="001864D5"/>
    <w:rsid w:val="001867FE"/>
    <w:rsid w:val="00187182"/>
    <w:rsid w:val="0018718C"/>
    <w:rsid w:val="00187293"/>
    <w:rsid w:val="00187AAA"/>
    <w:rsid w:val="00187B20"/>
    <w:rsid w:val="00187B41"/>
    <w:rsid w:val="00187E96"/>
    <w:rsid w:val="00187FEB"/>
    <w:rsid w:val="00191627"/>
    <w:rsid w:val="001917F9"/>
    <w:rsid w:val="001920FA"/>
    <w:rsid w:val="00192821"/>
    <w:rsid w:val="001928B4"/>
    <w:rsid w:val="00192997"/>
    <w:rsid w:val="00192C32"/>
    <w:rsid w:val="0019447D"/>
    <w:rsid w:val="001945AE"/>
    <w:rsid w:val="0019472A"/>
    <w:rsid w:val="001953B9"/>
    <w:rsid w:val="0019712D"/>
    <w:rsid w:val="001972B9"/>
    <w:rsid w:val="001A043A"/>
    <w:rsid w:val="001A1221"/>
    <w:rsid w:val="001A203B"/>
    <w:rsid w:val="001A294B"/>
    <w:rsid w:val="001A2E8F"/>
    <w:rsid w:val="001A3077"/>
    <w:rsid w:val="001A4CDE"/>
    <w:rsid w:val="001A66A9"/>
    <w:rsid w:val="001A7667"/>
    <w:rsid w:val="001A786F"/>
    <w:rsid w:val="001B03AE"/>
    <w:rsid w:val="001B0EE4"/>
    <w:rsid w:val="001B1224"/>
    <w:rsid w:val="001B15AD"/>
    <w:rsid w:val="001B1EC0"/>
    <w:rsid w:val="001B2C6B"/>
    <w:rsid w:val="001B311B"/>
    <w:rsid w:val="001B3B5E"/>
    <w:rsid w:val="001B41AC"/>
    <w:rsid w:val="001B4D59"/>
    <w:rsid w:val="001B56DF"/>
    <w:rsid w:val="001B66C7"/>
    <w:rsid w:val="001B7291"/>
    <w:rsid w:val="001B7CF6"/>
    <w:rsid w:val="001C0212"/>
    <w:rsid w:val="001C1617"/>
    <w:rsid w:val="001C1DDD"/>
    <w:rsid w:val="001C435B"/>
    <w:rsid w:val="001C4517"/>
    <w:rsid w:val="001C4CFB"/>
    <w:rsid w:val="001C4E28"/>
    <w:rsid w:val="001C6D3B"/>
    <w:rsid w:val="001C7DD4"/>
    <w:rsid w:val="001D0CEE"/>
    <w:rsid w:val="001D0DAE"/>
    <w:rsid w:val="001D1062"/>
    <w:rsid w:val="001D123F"/>
    <w:rsid w:val="001D29B7"/>
    <w:rsid w:val="001D43FF"/>
    <w:rsid w:val="001D483B"/>
    <w:rsid w:val="001D4F27"/>
    <w:rsid w:val="001D5E33"/>
    <w:rsid w:val="001D72FE"/>
    <w:rsid w:val="001D7EB8"/>
    <w:rsid w:val="001E2B49"/>
    <w:rsid w:val="001E3E42"/>
    <w:rsid w:val="001E3F51"/>
    <w:rsid w:val="001E4993"/>
    <w:rsid w:val="001E4F6B"/>
    <w:rsid w:val="001F039D"/>
    <w:rsid w:val="001F139A"/>
    <w:rsid w:val="001F207F"/>
    <w:rsid w:val="001F20EC"/>
    <w:rsid w:val="001F26A7"/>
    <w:rsid w:val="001F5DB1"/>
    <w:rsid w:val="001F6344"/>
    <w:rsid w:val="001F70A0"/>
    <w:rsid w:val="002004F2"/>
    <w:rsid w:val="00200C86"/>
    <w:rsid w:val="00201282"/>
    <w:rsid w:val="00201D47"/>
    <w:rsid w:val="0020283A"/>
    <w:rsid w:val="00202988"/>
    <w:rsid w:val="002038B1"/>
    <w:rsid w:val="00203E21"/>
    <w:rsid w:val="00204313"/>
    <w:rsid w:val="002043E8"/>
    <w:rsid w:val="002069E4"/>
    <w:rsid w:val="00206F97"/>
    <w:rsid w:val="002070DF"/>
    <w:rsid w:val="002076A4"/>
    <w:rsid w:val="00207F37"/>
    <w:rsid w:val="00212280"/>
    <w:rsid w:val="00213A68"/>
    <w:rsid w:val="002154E7"/>
    <w:rsid w:val="00215843"/>
    <w:rsid w:val="00216778"/>
    <w:rsid w:val="00216822"/>
    <w:rsid w:val="0021735E"/>
    <w:rsid w:val="00217690"/>
    <w:rsid w:val="00217874"/>
    <w:rsid w:val="00220098"/>
    <w:rsid w:val="00220F5F"/>
    <w:rsid w:val="00221337"/>
    <w:rsid w:val="0022321D"/>
    <w:rsid w:val="002238F9"/>
    <w:rsid w:val="00226BF8"/>
    <w:rsid w:val="00226EED"/>
    <w:rsid w:val="002270F3"/>
    <w:rsid w:val="00230689"/>
    <w:rsid w:val="00231446"/>
    <w:rsid w:val="00232529"/>
    <w:rsid w:val="00233BDF"/>
    <w:rsid w:val="00233C7A"/>
    <w:rsid w:val="00234BCD"/>
    <w:rsid w:val="00235306"/>
    <w:rsid w:val="00235672"/>
    <w:rsid w:val="00235E46"/>
    <w:rsid w:val="00236D6A"/>
    <w:rsid w:val="0023715E"/>
    <w:rsid w:val="00237636"/>
    <w:rsid w:val="00240A6E"/>
    <w:rsid w:val="00240BCB"/>
    <w:rsid w:val="00241FBF"/>
    <w:rsid w:val="00242154"/>
    <w:rsid w:val="002426C7"/>
    <w:rsid w:val="00242ECD"/>
    <w:rsid w:val="00243757"/>
    <w:rsid w:val="00245730"/>
    <w:rsid w:val="0024578F"/>
    <w:rsid w:val="00245A5C"/>
    <w:rsid w:val="00245E8B"/>
    <w:rsid w:val="0024725C"/>
    <w:rsid w:val="0025159A"/>
    <w:rsid w:val="00251797"/>
    <w:rsid w:val="00251D7A"/>
    <w:rsid w:val="002525D1"/>
    <w:rsid w:val="00252E96"/>
    <w:rsid w:val="00253176"/>
    <w:rsid w:val="00253BD9"/>
    <w:rsid w:val="00254E16"/>
    <w:rsid w:val="00256740"/>
    <w:rsid w:val="00257D17"/>
    <w:rsid w:val="00257D92"/>
    <w:rsid w:val="00261ABC"/>
    <w:rsid w:val="00263347"/>
    <w:rsid w:val="0026660D"/>
    <w:rsid w:val="00267262"/>
    <w:rsid w:val="002702D6"/>
    <w:rsid w:val="002723E1"/>
    <w:rsid w:val="00272746"/>
    <w:rsid w:val="00273C4E"/>
    <w:rsid w:val="00273D35"/>
    <w:rsid w:val="00273D38"/>
    <w:rsid w:val="00275360"/>
    <w:rsid w:val="00276047"/>
    <w:rsid w:val="00276119"/>
    <w:rsid w:val="00276F08"/>
    <w:rsid w:val="0027734D"/>
    <w:rsid w:val="00280857"/>
    <w:rsid w:val="00282E86"/>
    <w:rsid w:val="00283114"/>
    <w:rsid w:val="00284442"/>
    <w:rsid w:val="00284445"/>
    <w:rsid w:val="00284631"/>
    <w:rsid w:val="00284CB1"/>
    <w:rsid w:val="00285778"/>
    <w:rsid w:val="00285CFA"/>
    <w:rsid w:val="00285D31"/>
    <w:rsid w:val="00286E28"/>
    <w:rsid w:val="002903EF"/>
    <w:rsid w:val="0029059F"/>
    <w:rsid w:val="00290794"/>
    <w:rsid w:val="002914DE"/>
    <w:rsid w:val="00293DB0"/>
    <w:rsid w:val="0029414C"/>
    <w:rsid w:val="002941A6"/>
    <w:rsid w:val="00297103"/>
    <w:rsid w:val="002A00E9"/>
    <w:rsid w:val="002A016D"/>
    <w:rsid w:val="002A109C"/>
    <w:rsid w:val="002A166A"/>
    <w:rsid w:val="002A1714"/>
    <w:rsid w:val="002A259A"/>
    <w:rsid w:val="002A3065"/>
    <w:rsid w:val="002A3EFF"/>
    <w:rsid w:val="002A43A7"/>
    <w:rsid w:val="002A4433"/>
    <w:rsid w:val="002A4BD8"/>
    <w:rsid w:val="002B00F1"/>
    <w:rsid w:val="002B05F5"/>
    <w:rsid w:val="002B0650"/>
    <w:rsid w:val="002B08A5"/>
    <w:rsid w:val="002B173F"/>
    <w:rsid w:val="002B23F0"/>
    <w:rsid w:val="002B3A7D"/>
    <w:rsid w:val="002B4154"/>
    <w:rsid w:val="002B594F"/>
    <w:rsid w:val="002B5D78"/>
    <w:rsid w:val="002B60AF"/>
    <w:rsid w:val="002B6770"/>
    <w:rsid w:val="002B6CAD"/>
    <w:rsid w:val="002B74F9"/>
    <w:rsid w:val="002C0756"/>
    <w:rsid w:val="002C09DD"/>
    <w:rsid w:val="002C1196"/>
    <w:rsid w:val="002C1A7F"/>
    <w:rsid w:val="002C1B3A"/>
    <w:rsid w:val="002C506E"/>
    <w:rsid w:val="002C760B"/>
    <w:rsid w:val="002D1E7C"/>
    <w:rsid w:val="002D20E4"/>
    <w:rsid w:val="002D4409"/>
    <w:rsid w:val="002D4CCB"/>
    <w:rsid w:val="002D4F0D"/>
    <w:rsid w:val="002D685B"/>
    <w:rsid w:val="002D69DE"/>
    <w:rsid w:val="002D7E2D"/>
    <w:rsid w:val="002E0649"/>
    <w:rsid w:val="002E1A70"/>
    <w:rsid w:val="002E244F"/>
    <w:rsid w:val="002E26B2"/>
    <w:rsid w:val="002E34E4"/>
    <w:rsid w:val="002E408B"/>
    <w:rsid w:val="002E5648"/>
    <w:rsid w:val="002E5703"/>
    <w:rsid w:val="002E6114"/>
    <w:rsid w:val="002E6665"/>
    <w:rsid w:val="002E71B9"/>
    <w:rsid w:val="002E744F"/>
    <w:rsid w:val="002F040C"/>
    <w:rsid w:val="002F0599"/>
    <w:rsid w:val="002F1069"/>
    <w:rsid w:val="002F356A"/>
    <w:rsid w:val="002F4601"/>
    <w:rsid w:val="002F6A2F"/>
    <w:rsid w:val="002F6E97"/>
    <w:rsid w:val="0030051F"/>
    <w:rsid w:val="0030163C"/>
    <w:rsid w:val="00301BD5"/>
    <w:rsid w:val="0030206C"/>
    <w:rsid w:val="00302476"/>
    <w:rsid w:val="00302519"/>
    <w:rsid w:val="003035C5"/>
    <w:rsid w:val="00303FEC"/>
    <w:rsid w:val="00304168"/>
    <w:rsid w:val="00304AB5"/>
    <w:rsid w:val="00304FC7"/>
    <w:rsid w:val="003059B8"/>
    <w:rsid w:val="003059E8"/>
    <w:rsid w:val="00306779"/>
    <w:rsid w:val="00310310"/>
    <w:rsid w:val="00311DAD"/>
    <w:rsid w:val="00313502"/>
    <w:rsid w:val="003141F3"/>
    <w:rsid w:val="003163A8"/>
    <w:rsid w:val="00320395"/>
    <w:rsid w:val="00322012"/>
    <w:rsid w:val="00323BEF"/>
    <w:rsid w:val="003245C3"/>
    <w:rsid w:val="00324AA8"/>
    <w:rsid w:val="00324BF7"/>
    <w:rsid w:val="00325FA6"/>
    <w:rsid w:val="0032793E"/>
    <w:rsid w:val="00327F28"/>
    <w:rsid w:val="00330794"/>
    <w:rsid w:val="00330D6F"/>
    <w:rsid w:val="00331433"/>
    <w:rsid w:val="00331954"/>
    <w:rsid w:val="00333778"/>
    <w:rsid w:val="00335BB6"/>
    <w:rsid w:val="00335D2F"/>
    <w:rsid w:val="00336079"/>
    <w:rsid w:val="00340DB7"/>
    <w:rsid w:val="00340F5E"/>
    <w:rsid w:val="0034127F"/>
    <w:rsid w:val="00341611"/>
    <w:rsid w:val="003419FF"/>
    <w:rsid w:val="00341D58"/>
    <w:rsid w:val="00342BE6"/>
    <w:rsid w:val="00343095"/>
    <w:rsid w:val="0034324C"/>
    <w:rsid w:val="003433EB"/>
    <w:rsid w:val="00343FDA"/>
    <w:rsid w:val="003447DF"/>
    <w:rsid w:val="003451AE"/>
    <w:rsid w:val="003453AF"/>
    <w:rsid w:val="00346080"/>
    <w:rsid w:val="0034637A"/>
    <w:rsid w:val="0034705C"/>
    <w:rsid w:val="0034718F"/>
    <w:rsid w:val="003473EA"/>
    <w:rsid w:val="0034751D"/>
    <w:rsid w:val="00347CB0"/>
    <w:rsid w:val="003503A6"/>
    <w:rsid w:val="00350643"/>
    <w:rsid w:val="00351026"/>
    <w:rsid w:val="00351AFF"/>
    <w:rsid w:val="00352270"/>
    <w:rsid w:val="0035329F"/>
    <w:rsid w:val="0035365A"/>
    <w:rsid w:val="00354D28"/>
    <w:rsid w:val="00354E3D"/>
    <w:rsid w:val="0035595A"/>
    <w:rsid w:val="00355C8C"/>
    <w:rsid w:val="00356696"/>
    <w:rsid w:val="00356E12"/>
    <w:rsid w:val="00356FA2"/>
    <w:rsid w:val="003576A9"/>
    <w:rsid w:val="00360710"/>
    <w:rsid w:val="0036117B"/>
    <w:rsid w:val="003627A2"/>
    <w:rsid w:val="00362917"/>
    <w:rsid w:val="00364E3B"/>
    <w:rsid w:val="003656E1"/>
    <w:rsid w:val="00365747"/>
    <w:rsid w:val="003658FA"/>
    <w:rsid w:val="00365C08"/>
    <w:rsid w:val="0036613F"/>
    <w:rsid w:val="00367D61"/>
    <w:rsid w:val="003705A7"/>
    <w:rsid w:val="00370C42"/>
    <w:rsid w:val="00370EBC"/>
    <w:rsid w:val="0037394F"/>
    <w:rsid w:val="00374D07"/>
    <w:rsid w:val="0037512F"/>
    <w:rsid w:val="00375489"/>
    <w:rsid w:val="00376343"/>
    <w:rsid w:val="00376E1C"/>
    <w:rsid w:val="00377838"/>
    <w:rsid w:val="00380AEC"/>
    <w:rsid w:val="00381B79"/>
    <w:rsid w:val="00381C05"/>
    <w:rsid w:val="00383699"/>
    <w:rsid w:val="00384318"/>
    <w:rsid w:val="00384D65"/>
    <w:rsid w:val="00385272"/>
    <w:rsid w:val="0038604D"/>
    <w:rsid w:val="00387455"/>
    <w:rsid w:val="003910FF"/>
    <w:rsid w:val="00391862"/>
    <w:rsid w:val="0039264F"/>
    <w:rsid w:val="00392DA6"/>
    <w:rsid w:val="00392EEC"/>
    <w:rsid w:val="003941A1"/>
    <w:rsid w:val="00394A5E"/>
    <w:rsid w:val="0039515D"/>
    <w:rsid w:val="00396116"/>
    <w:rsid w:val="003967DD"/>
    <w:rsid w:val="00397DEB"/>
    <w:rsid w:val="003A0D84"/>
    <w:rsid w:val="003A1BF6"/>
    <w:rsid w:val="003A24EB"/>
    <w:rsid w:val="003A400A"/>
    <w:rsid w:val="003A40C1"/>
    <w:rsid w:val="003A5ACB"/>
    <w:rsid w:val="003A6E96"/>
    <w:rsid w:val="003B117E"/>
    <w:rsid w:val="003B18D0"/>
    <w:rsid w:val="003B1AAE"/>
    <w:rsid w:val="003B29C6"/>
    <w:rsid w:val="003B2F3B"/>
    <w:rsid w:val="003B33C5"/>
    <w:rsid w:val="003B36DB"/>
    <w:rsid w:val="003B3C8D"/>
    <w:rsid w:val="003B44C7"/>
    <w:rsid w:val="003B535C"/>
    <w:rsid w:val="003B5BA6"/>
    <w:rsid w:val="003B671C"/>
    <w:rsid w:val="003B6E3F"/>
    <w:rsid w:val="003B6FD4"/>
    <w:rsid w:val="003B7257"/>
    <w:rsid w:val="003B73BC"/>
    <w:rsid w:val="003B7453"/>
    <w:rsid w:val="003C1403"/>
    <w:rsid w:val="003C19F6"/>
    <w:rsid w:val="003C1DED"/>
    <w:rsid w:val="003C1F00"/>
    <w:rsid w:val="003C23C6"/>
    <w:rsid w:val="003C287B"/>
    <w:rsid w:val="003C28A3"/>
    <w:rsid w:val="003C3C8B"/>
    <w:rsid w:val="003C411C"/>
    <w:rsid w:val="003C49EE"/>
    <w:rsid w:val="003C51C8"/>
    <w:rsid w:val="003C5882"/>
    <w:rsid w:val="003C7505"/>
    <w:rsid w:val="003D0621"/>
    <w:rsid w:val="003D0D22"/>
    <w:rsid w:val="003D0E69"/>
    <w:rsid w:val="003D1556"/>
    <w:rsid w:val="003D2389"/>
    <w:rsid w:val="003D2622"/>
    <w:rsid w:val="003D38E3"/>
    <w:rsid w:val="003D4562"/>
    <w:rsid w:val="003D7F89"/>
    <w:rsid w:val="003E0CF9"/>
    <w:rsid w:val="003E12EC"/>
    <w:rsid w:val="003E19DB"/>
    <w:rsid w:val="003E23C6"/>
    <w:rsid w:val="003E2817"/>
    <w:rsid w:val="003E29BD"/>
    <w:rsid w:val="003E2C9B"/>
    <w:rsid w:val="003E35A2"/>
    <w:rsid w:val="003E3DEB"/>
    <w:rsid w:val="003E5B32"/>
    <w:rsid w:val="003E6067"/>
    <w:rsid w:val="003E60C5"/>
    <w:rsid w:val="003F1017"/>
    <w:rsid w:val="003F1127"/>
    <w:rsid w:val="003F13E3"/>
    <w:rsid w:val="003F1744"/>
    <w:rsid w:val="003F23CB"/>
    <w:rsid w:val="003F252F"/>
    <w:rsid w:val="003F4574"/>
    <w:rsid w:val="003F4826"/>
    <w:rsid w:val="003F4BDC"/>
    <w:rsid w:val="003F59F9"/>
    <w:rsid w:val="003F5EDD"/>
    <w:rsid w:val="0040002B"/>
    <w:rsid w:val="004007B5"/>
    <w:rsid w:val="00402819"/>
    <w:rsid w:val="00402909"/>
    <w:rsid w:val="00404192"/>
    <w:rsid w:val="0040452B"/>
    <w:rsid w:val="004045A4"/>
    <w:rsid w:val="00405ECD"/>
    <w:rsid w:val="0040635A"/>
    <w:rsid w:val="00406E6E"/>
    <w:rsid w:val="004074A7"/>
    <w:rsid w:val="00407CA3"/>
    <w:rsid w:val="00410069"/>
    <w:rsid w:val="004131EA"/>
    <w:rsid w:val="00414119"/>
    <w:rsid w:val="004142AC"/>
    <w:rsid w:val="004148C6"/>
    <w:rsid w:val="00415940"/>
    <w:rsid w:val="00416432"/>
    <w:rsid w:val="0041675F"/>
    <w:rsid w:val="00416A3F"/>
    <w:rsid w:val="00417B1C"/>
    <w:rsid w:val="00417BC6"/>
    <w:rsid w:val="00417E98"/>
    <w:rsid w:val="00417FA7"/>
    <w:rsid w:val="00423229"/>
    <w:rsid w:val="00424433"/>
    <w:rsid w:val="004245A7"/>
    <w:rsid w:val="0042481F"/>
    <w:rsid w:val="00425237"/>
    <w:rsid w:val="00425618"/>
    <w:rsid w:val="004261D6"/>
    <w:rsid w:val="00426CB0"/>
    <w:rsid w:val="00427CB1"/>
    <w:rsid w:val="0043269C"/>
    <w:rsid w:val="004326C7"/>
    <w:rsid w:val="004331F7"/>
    <w:rsid w:val="00433AC8"/>
    <w:rsid w:val="00436261"/>
    <w:rsid w:val="00436288"/>
    <w:rsid w:val="00437B92"/>
    <w:rsid w:val="004409F7"/>
    <w:rsid w:val="00441406"/>
    <w:rsid w:val="00441921"/>
    <w:rsid w:val="00443009"/>
    <w:rsid w:val="0044379D"/>
    <w:rsid w:val="00443A12"/>
    <w:rsid w:val="00443A9B"/>
    <w:rsid w:val="00443CB1"/>
    <w:rsid w:val="00445015"/>
    <w:rsid w:val="0044660A"/>
    <w:rsid w:val="00447CCC"/>
    <w:rsid w:val="00451CA5"/>
    <w:rsid w:val="0045222B"/>
    <w:rsid w:val="004522C5"/>
    <w:rsid w:val="00452D76"/>
    <w:rsid w:val="004544D0"/>
    <w:rsid w:val="00454534"/>
    <w:rsid w:val="004548EE"/>
    <w:rsid w:val="0045573C"/>
    <w:rsid w:val="00455815"/>
    <w:rsid w:val="00456841"/>
    <w:rsid w:val="00456BE2"/>
    <w:rsid w:val="00456E7D"/>
    <w:rsid w:val="00457868"/>
    <w:rsid w:val="00457C40"/>
    <w:rsid w:val="0046000A"/>
    <w:rsid w:val="00460BC0"/>
    <w:rsid w:val="004611DF"/>
    <w:rsid w:val="00461DA3"/>
    <w:rsid w:val="00462133"/>
    <w:rsid w:val="00462ACE"/>
    <w:rsid w:val="00462C1B"/>
    <w:rsid w:val="00463555"/>
    <w:rsid w:val="004659CE"/>
    <w:rsid w:val="00467C08"/>
    <w:rsid w:val="00467FFA"/>
    <w:rsid w:val="004706D7"/>
    <w:rsid w:val="004714E5"/>
    <w:rsid w:val="0047285F"/>
    <w:rsid w:val="00474150"/>
    <w:rsid w:val="00474E16"/>
    <w:rsid w:val="00476379"/>
    <w:rsid w:val="0047637E"/>
    <w:rsid w:val="00476BA4"/>
    <w:rsid w:val="00477000"/>
    <w:rsid w:val="00477204"/>
    <w:rsid w:val="0047781C"/>
    <w:rsid w:val="0048076D"/>
    <w:rsid w:val="004818AF"/>
    <w:rsid w:val="0048202A"/>
    <w:rsid w:val="0048301D"/>
    <w:rsid w:val="00483C97"/>
    <w:rsid w:val="00484675"/>
    <w:rsid w:val="00484938"/>
    <w:rsid w:val="00484E19"/>
    <w:rsid w:val="00485D21"/>
    <w:rsid w:val="00486B7B"/>
    <w:rsid w:val="00486BA4"/>
    <w:rsid w:val="004879DC"/>
    <w:rsid w:val="00490C11"/>
    <w:rsid w:val="00490FCC"/>
    <w:rsid w:val="004911FB"/>
    <w:rsid w:val="00492036"/>
    <w:rsid w:val="00493138"/>
    <w:rsid w:val="00493EE9"/>
    <w:rsid w:val="004947B1"/>
    <w:rsid w:val="004947F8"/>
    <w:rsid w:val="00495BC9"/>
    <w:rsid w:val="00495DFF"/>
    <w:rsid w:val="0049629A"/>
    <w:rsid w:val="004965D4"/>
    <w:rsid w:val="004A0B39"/>
    <w:rsid w:val="004A166E"/>
    <w:rsid w:val="004A2DCF"/>
    <w:rsid w:val="004A387A"/>
    <w:rsid w:val="004A6069"/>
    <w:rsid w:val="004A6E27"/>
    <w:rsid w:val="004B1DA2"/>
    <w:rsid w:val="004B2169"/>
    <w:rsid w:val="004B325D"/>
    <w:rsid w:val="004B51FA"/>
    <w:rsid w:val="004B5A66"/>
    <w:rsid w:val="004B5EB1"/>
    <w:rsid w:val="004B72B3"/>
    <w:rsid w:val="004B75B8"/>
    <w:rsid w:val="004C1801"/>
    <w:rsid w:val="004C183F"/>
    <w:rsid w:val="004C1E36"/>
    <w:rsid w:val="004C24CB"/>
    <w:rsid w:val="004C27EB"/>
    <w:rsid w:val="004C2A82"/>
    <w:rsid w:val="004C2EB7"/>
    <w:rsid w:val="004C4B1B"/>
    <w:rsid w:val="004C68DB"/>
    <w:rsid w:val="004C6A82"/>
    <w:rsid w:val="004D0B68"/>
    <w:rsid w:val="004D0FD3"/>
    <w:rsid w:val="004D15CE"/>
    <w:rsid w:val="004D3246"/>
    <w:rsid w:val="004D34B7"/>
    <w:rsid w:val="004D4EDF"/>
    <w:rsid w:val="004D54AB"/>
    <w:rsid w:val="004D5FD9"/>
    <w:rsid w:val="004D657B"/>
    <w:rsid w:val="004D66A0"/>
    <w:rsid w:val="004E067E"/>
    <w:rsid w:val="004E1465"/>
    <w:rsid w:val="004E1F5B"/>
    <w:rsid w:val="004E2624"/>
    <w:rsid w:val="004E288E"/>
    <w:rsid w:val="004E31A4"/>
    <w:rsid w:val="004E53F7"/>
    <w:rsid w:val="004E6D47"/>
    <w:rsid w:val="004F037C"/>
    <w:rsid w:val="004F19C8"/>
    <w:rsid w:val="004F2A40"/>
    <w:rsid w:val="004F3B0D"/>
    <w:rsid w:val="004F4734"/>
    <w:rsid w:val="004F5E28"/>
    <w:rsid w:val="004F5EC6"/>
    <w:rsid w:val="004F63FF"/>
    <w:rsid w:val="004F6848"/>
    <w:rsid w:val="00501B7A"/>
    <w:rsid w:val="00502964"/>
    <w:rsid w:val="00503410"/>
    <w:rsid w:val="0050352E"/>
    <w:rsid w:val="005035B0"/>
    <w:rsid w:val="00504CDF"/>
    <w:rsid w:val="00504FCC"/>
    <w:rsid w:val="00505033"/>
    <w:rsid w:val="00505332"/>
    <w:rsid w:val="005069E9"/>
    <w:rsid w:val="00506DC7"/>
    <w:rsid w:val="00507694"/>
    <w:rsid w:val="00507D20"/>
    <w:rsid w:val="00507DE5"/>
    <w:rsid w:val="0051006C"/>
    <w:rsid w:val="0051471B"/>
    <w:rsid w:val="005149C6"/>
    <w:rsid w:val="00514C94"/>
    <w:rsid w:val="00516861"/>
    <w:rsid w:val="00517577"/>
    <w:rsid w:val="00517D9C"/>
    <w:rsid w:val="005201D2"/>
    <w:rsid w:val="00521B7E"/>
    <w:rsid w:val="00521C54"/>
    <w:rsid w:val="00522A08"/>
    <w:rsid w:val="00522C34"/>
    <w:rsid w:val="005242C3"/>
    <w:rsid w:val="00524B0C"/>
    <w:rsid w:val="00525B40"/>
    <w:rsid w:val="005271F5"/>
    <w:rsid w:val="00527874"/>
    <w:rsid w:val="00527F56"/>
    <w:rsid w:val="00527FB2"/>
    <w:rsid w:val="00530A9B"/>
    <w:rsid w:val="00531446"/>
    <w:rsid w:val="005330BA"/>
    <w:rsid w:val="00533931"/>
    <w:rsid w:val="0053429C"/>
    <w:rsid w:val="00534A16"/>
    <w:rsid w:val="005359F7"/>
    <w:rsid w:val="00537282"/>
    <w:rsid w:val="00537CFA"/>
    <w:rsid w:val="005403CC"/>
    <w:rsid w:val="00540E7C"/>
    <w:rsid w:val="005414FA"/>
    <w:rsid w:val="00541D10"/>
    <w:rsid w:val="00541FD1"/>
    <w:rsid w:val="00542235"/>
    <w:rsid w:val="00543876"/>
    <w:rsid w:val="00544D26"/>
    <w:rsid w:val="00545746"/>
    <w:rsid w:val="00545A8C"/>
    <w:rsid w:val="005464F9"/>
    <w:rsid w:val="005475B2"/>
    <w:rsid w:val="005477F6"/>
    <w:rsid w:val="005501FD"/>
    <w:rsid w:val="005506B5"/>
    <w:rsid w:val="00550F34"/>
    <w:rsid w:val="00550F6D"/>
    <w:rsid w:val="00551888"/>
    <w:rsid w:val="005524EC"/>
    <w:rsid w:val="00552BCB"/>
    <w:rsid w:val="0055323C"/>
    <w:rsid w:val="0055364E"/>
    <w:rsid w:val="005539D7"/>
    <w:rsid w:val="00554A59"/>
    <w:rsid w:val="00555028"/>
    <w:rsid w:val="00555F62"/>
    <w:rsid w:val="00556063"/>
    <w:rsid w:val="0055616E"/>
    <w:rsid w:val="00556308"/>
    <w:rsid w:val="0055708F"/>
    <w:rsid w:val="00557E46"/>
    <w:rsid w:val="00560FC7"/>
    <w:rsid w:val="005622EB"/>
    <w:rsid w:val="005629D9"/>
    <w:rsid w:val="00564671"/>
    <w:rsid w:val="00564776"/>
    <w:rsid w:val="00564F82"/>
    <w:rsid w:val="00565D41"/>
    <w:rsid w:val="00566BD8"/>
    <w:rsid w:val="005679A4"/>
    <w:rsid w:val="005714E3"/>
    <w:rsid w:val="00571CBF"/>
    <w:rsid w:val="00572095"/>
    <w:rsid w:val="00573339"/>
    <w:rsid w:val="00573C7E"/>
    <w:rsid w:val="00573E9B"/>
    <w:rsid w:val="00575C2A"/>
    <w:rsid w:val="00576AF7"/>
    <w:rsid w:val="00577541"/>
    <w:rsid w:val="005776B7"/>
    <w:rsid w:val="00580452"/>
    <w:rsid w:val="00580458"/>
    <w:rsid w:val="005810E0"/>
    <w:rsid w:val="005812EB"/>
    <w:rsid w:val="005816F0"/>
    <w:rsid w:val="00581A51"/>
    <w:rsid w:val="00582809"/>
    <w:rsid w:val="0058298C"/>
    <w:rsid w:val="00583301"/>
    <w:rsid w:val="005838B0"/>
    <w:rsid w:val="005844B7"/>
    <w:rsid w:val="005844ED"/>
    <w:rsid w:val="00584601"/>
    <w:rsid w:val="0058471B"/>
    <w:rsid w:val="00584D45"/>
    <w:rsid w:val="0058792C"/>
    <w:rsid w:val="0059003A"/>
    <w:rsid w:val="005908B1"/>
    <w:rsid w:val="00590D2C"/>
    <w:rsid w:val="00591194"/>
    <w:rsid w:val="00591B69"/>
    <w:rsid w:val="00591F84"/>
    <w:rsid w:val="00592631"/>
    <w:rsid w:val="00592DC7"/>
    <w:rsid w:val="00593D22"/>
    <w:rsid w:val="00596EFA"/>
    <w:rsid w:val="0059718E"/>
    <w:rsid w:val="00597530"/>
    <w:rsid w:val="005A084A"/>
    <w:rsid w:val="005A095E"/>
    <w:rsid w:val="005A13DA"/>
    <w:rsid w:val="005A21C8"/>
    <w:rsid w:val="005A23FA"/>
    <w:rsid w:val="005A32AF"/>
    <w:rsid w:val="005A652D"/>
    <w:rsid w:val="005A6C02"/>
    <w:rsid w:val="005A778C"/>
    <w:rsid w:val="005B14E7"/>
    <w:rsid w:val="005B171C"/>
    <w:rsid w:val="005B1C2E"/>
    <w:rsid w:val="005B550A"/>
    <w:rsid w:val="005B5C63"/>
    <w:rsid w:val="005B6F78"/>
    <w:rsid w:val="005B7269"/>
    <w:rsid w:val="005B7A37"/>
    <w:rsid w:val="005C1FB8"/>
    <w:rsid w:val="005C22BE"/>
    <w:rsid w:val="005C2973"/>
    <w:rsid w:val="005C3B89"/>
    <w:rsid w:val="005C44D6"/>
    <w:rsid w:val="005C5557"/>
    <w:rsid w:val="005C5B8C"/>
    <w:rsid w:val="005C61B8"/>
    <w:rsid w:val="005C661B"/>
    <w:rsid w:val="005C71F5"/>
    <w:rsid w:val="005D02D8"/>
    <w:rsid w:val="005D0662"/>
    <w:rsid w:val="005D0DC5"/>
    <w:rsid w:val="005D2077"/>
    <w:rsid w:val="005D47DA"/>
    <w:rsid w:val="005D57F9"/>
    <w:rsid w:val="005D5E77"/>
    <w:rsid w:val="005D68EC"/>
    <w:rsid w:val="005D695E"/>
    <w:rsid w:val="005D6FC2"/>
    <w:rsid w:val="005D7889"/>
    <w:rsid w:val="005E044D"/>
    <w:rsid w:val="005E0A26"/>
    <w:rsid w:val="005E1940"/>
    <w:rsid w:val="005E1AC5"/>
    <w:rsid w:val="005E1C7F"/>
    <w:rsid w:val="005E1EF0"/>
    <w:rsid w:val="005E225E"/>
    <w:rsid w:val="005E33B6"/>
    <w:rsid w:val="005E33D6"/>
    <w:rsid w:val="005E42D3"/>
    <w:rsid w:val="005E53EB"/>
    <w:rsid w:val="005E68EE"/>
    <w:rsid w:val="005E7073"/>
    <w:rsid w:val="005F0302"/>
    <w:rsid w:val="005F0DF9"/>
    <w:rsid w:val="005F13FF"/>
    <w:rsid w:val="005F15CF"/>
    <w:rsid w:val="005F1F46"/>
    <w:rsid w:val="005F255D"/>
    <w:rsid w:val="005F2FB4"/>
    <w:rsid w:val="005F4736"/>
    <w:rsid w:val="005F47B0"/>
    <w:rsid w:val="005F49B5"/>
    <w:rsid w:val="005F4AFF"/>
    <w:rsid w:val="005F5E6B"/>
    <w:rsid w:val="005F73AF"/>
    <w:rsid w:val="00600DE2"/>
    <w:rsid w:val="00600E11"/>
    <w:rsid w:val="00600F18"/>
    <w:rsid w:val="0060271B"/>
    <w:rsid w:val="00604580"/>
    <w:rsid w:val="00605CD2"/>
    <w:rsid w:val="00605FAF"/>
    <w:rsid w:val="00606BC7"/>
    <w:rsid w:val="00606F21"/>
    <w:rsid w:val="006077F6"/>
    <w:rsid w:val="00607B75"/>
    <w:rsid w:val="006108A7"/>
    <w:rsid w:val="00611668"/>
    <w:rsid w:val="00611733"/>
    <w:rsid w:val="006118AE"/>
    <w:rsid w:val="00611F23"/>
    <w:rsid w:val="006122D1"/>
    <w:rsid w:val="0061245B"/>
    <w:rsid w:val="006125C7"/>
    <w:rsid w:val="00612973"/>
    <w:rsid w:val="00614B80"/>
    <w:rsid w:val="00615BBA"/>
    <w:rsid w:val="00616383"/>
    <w:rsid w:val="00620155"/>
    <w:rsid w:val="00620344"/>
    <w:rsid w:val="006204CE"/>
    <w:rsid w:val="006217D5"/>
    <w:rsid w:val="00622E02"/>
    <w:rsid w:val="00622FEB"/>
    <w:rsid w:val="006230FA"/>
    <w:rsid w:val="00623682"/>
    <w:rsid w:val="00623A87"/>
    <w:rsid w:val="00623C24"/>
    <w:rsid w:val="006241D1"/>
    <w:rsid w:val="00625134"/>
    <w:rsid w:val="0062651C"/>
    <w:rsid w:val="006302C6"/>
    <w:rsid w:val="00630CD6"/>
    <w:rsid w:val="00630D52"/>
    <w:rsid w:val="006320F4"/>
    <w:rsid w:val="00632574"/>
    <w:rsid w:val="0063283D"/>
    <w:rsid w:val="00633076"/>
    <w:rsid w:val="00633975"/>
    <w:rsid w:val="00633DC3"/>
    <w:rsid w:val="00634208"/>
    <w:rsid w:val="00634AA6"/>
    <w:rsid w:val="006354CC"/>
    <w:rsid w:val="00636350"/>
    <w:rsid w:val="00637255"/>
    <w:rsid w:val="006375AF"/>
    <w:rsid w:val="006379DE"/>
    <w:rsid w:val="0064047F"/>
    <w:rsid w:val="00640C61"/>
    <w:rsid w:val="00640CB0"/>
    <w:rsid w:val="00641042"/>
    <w:rsid w:val="00641406"/>
    <w:rsid w:val="006421B0"/>
    <w:rsid w:val="00642477"/>
    <w:rsid w:val="0064277E"/>
    <w:rsid w:val="00642F8E"/>
    <w:rsid w:val="0064327E"/>
    <w:rsid w:val="00643685"/>
    <w:rsid w:val="00643C8E"/>
    <w:rsid w:val="00644D7B"/>
    <w:rsid w:val="00646194"/>
    <w:rsid w:val="006471AB"/>
    <w:rsid w:val="00647877"/>
    <w:rsid w:val="006478F6"/>
    <w:rsid w:val="00647C42"/>
    <w:rsid w:val="00652B91"/>
    <w:rsid w:val="00654215"/>
    <w:rsid w:val="0065564D"/>
    <w:rsid w:val="00655658"/>
    <w:rsid w:val="0065598A"/>
    <w:rsid w:val="00656344"/>
    <w:rsid w:val="00656627"/>
    <w:rsid w:val="00656983"/>
    <w:rsid w:val="00656AAA"/>
    <w:rsid w:val="006570FA"/>
    <w:rsid w:val="00657740"/>
    <w:rsid w:val="00661379"/>
    <w:rsid w:val="006616E2"/>
    <w:rsid w:val="00661C1F"/>
    <w:rsid w:val="006623BC"/>
    <w:rsid w:val="00663FA6"/>
    <w:rsid w:val="00664920"/>
    <w:rsid w:val="0066687C"/>
    <w:rsid w:val="00667537"/>
    <w:rsid w:val="00667B9F"/>
    <w:rsid w:val="00667F66"/>
    <w:rsid w:val="00670A8F"/>
    <w:rsid w:val="00670C23"/>
    <w:rsid w:val="00670D1F"/>
    <w:rsid w:val="0067208B"/>
    <w:rsid w:val="00673E09"/>
    <w:rsid w:val="00674B6C"/>
    <w:rsid w:val="0067674F"/>
    <w:rsid w:val="00676DD9"/>
    <w:rsid w:val="00676F1E"/>
    <w:rsid w:val="00677ABA"/>
    <w:rsid w:val="00682869"/>
    <w:rsid w:val="0068286A"/>
    <w:rsid w:val="00683043"/>
    <w:rsid w:val="0068350E"/>
    <w:rsid w:val="00683D07"/>
    <w:rsid w:val="0068477A"/>
    <w:rsid w:val="00684954"/>
    <w:rsid w:val="00686157"/>
    <w:rsid w:val="0068692D"/>
    <w:rsid w:val="00686E9A"/>
    <w:rsid w:val="006905B9"/>
    <w:rsid w:val="006908B3"/>
    <w:rsid w:val="006909D5"/>
    <w:rsid w:val="00691121"/>
    <w:rsid w:val="006915EC"/>
    <w:rsid w:val="00692002"/>
    <w:rsid w:val="00692E0D"/>
    <w:rsid w:val="00694C5C"/>
    <w:rsid w:val="00695FCE"/>
    <w:rsid w:val="006973E8"/>
    <w:rsid w:val="00697426"/>
    <w:rsid w:val="006975C1"/>
    <w:rsid w:val="0069785E"/>
    <w:rsid w:val="006A019E"/>
    <w:rsid w:val="006A01F4"/>
    <w:rsid w:val="006A07B7"/>
    <w:rsid w:val="006A19FA"/>
    <w:rsid w:val="006A2311"/>
    <w:rsid w:val="006A26AB"/>
    <w:rsid w:val="006A3517"/>
    <w:rsid w:val="006A3B0F"/>
    <w:rsid w:val="006A4D5A"/>
    <w:rsid w:val="006A5960"/>
    <w:rsid w:val="006A64FF"/>
    <w:rsid w:val="006A663F"/>
    <w:rsid w:val="006A683F"/>
    <w:rsid w:val="006A7807"/>
    <w:rsid w:val="006B0AF9"/>
    <w:rsid w:val="006B0C57"/>
    <w:rsid w:val="006B0DF3"/>
    <w:rsid w:val="006B0EF6"/>
    <w:rsid w:val="006B36B6"/>
    <w:rsid w:val="006B455C"/>
    <w:rsid w:val="006B4D7E"/>
    <w:rsid w:val="006B5252"/>
    <w:rsid w:val="006B57D4"/>
    <w:rsid w:val="006B6B64"/>
    <w:rsid w:val="006B70AB"/>
    <w:rsid w:val="006B7436"/>
    <w:rsid w:val="006C2996"/>
    <w:rsid w:val="006C29E9"/>
    <w:rsid w:val="006C3FAF"/>
    <w:rsid w:val="006C4AB9"/>
    <w:rsid w:val="006C4B73"/>
    <w:rsid w:val="006C4DF5"/>
    <w:rsid w:val="006C529B"/>
    <w:rsid w:val="006C5D9C"/>
    <w:rsid w:val="006C6C2F"/>
    <w:rsid w:val="006D3263"/>
    <w:rsid w:val="006D3A53"/>
    <w:rsid w:val="006D3AE1"/>
    <w:rsid w:val="006D42D4"/>
    <w:rsid w:val="006D4834"/>
    <w:rsid w:val="006D5E64"/>
    <w:rsid w:val="006D63B4"/>
    <w:rsid w:val="006E0341"/>
    <w:rsid w:val="006E08B8"/>
    <w:rsid w:val="006E0AE5"/>
    <w:rsid w:val="006E18A3"/>
    <w:rsid w:val="006E1F8B"/>
    <w:rsid w:val="006E2C3B"/>
    <w:rsid w:val="006E4CDA"/>
    <w:rsid w:val="006E5003"/>
    <w:rsid w:val="006E5972"/>
    <w:rsid w:val="006E5F59"/>
    <w:rsid w:val="006E63C2"/>
    <w:rsid w:val="006E6A4E"/>
    <w:rsid w:val="006E7CB0"/>
    <w:rsid w:val="006E7FF3"/>
    <w:rsid w:val="006F086F"/>
    <w:rsid w:val="006F1587"/>
    <w:rsid w:val="006F1D93"/>
    <w:rsid w:val="006F1F6B"/>
    <w:rsid w:val="006F28B9"/>
    <w:rsid w:val="006F35F4"/>
    <w:rsid w:val="006F4213"/>
    <w:rsid w:val="006F45B3"/>
    <w:rsid w:val="006F56C5"/>
    <w:rsid w:val="006F57AF"/>
    <w:rsid w:val="006F59CA"/>
    <w:rsid w:val="006F6B92"/>
    <w:rsid w:val="006F7E81"/>
    <w:rsid w:val="00700B5E"/>
    <w:rsid w:val="007010CF"/>
    <w:rsid w:val="007024E2"/>
    <w:rsid w:val="00704265"/>
    <w:rsid w:val="007049EE"/>
    <w:rsid w:val="00705E86"/>
    <w:rsid w:val="0070693D"/>
    <w:rsid w:val="00706BAE"/>
    <w:rsid w:val="00706DBD"/>
    <w:rsid w:val="00707559"/>
    <w:rsid w:val="00710693"/>
    <w:rsid w:val="0071088F"/>
    <w:rsid w:val="00710A7A"/>
    <w:rsid w:val="0071244C"/>
    <w:rsid w:val="00712921"/>
    <w:rsid w:val="00713E2D"/>
    <w:rsid w:val="007140C3"/>
    <w:rsid w:val="00715700"/>
    <w:rsid w:val="0071583F"/>
    <w:rsid w:val="00715C96"/>
    <w:rsid w:val="00715CFE"/>
    <w:rsid w:val="00716426"/>
    <w:rsid w:val="0071743F"/>
    <w:rsid w:val="00717B2A"/>
    <w:rsid w:val="00720D22"/>
    <w:rsid w:val="00721366"/>
    <w:rsid w:val="00721913"/>
    <w:rsid w:val="00721FFC"/>
    <w:rsid w:val="00722DC5"/>
    <w:rsid w:val="007232B0"/>
    <w:rsid w:val="0072381A"/>
    <w:rsid w:val="00723CF6"/>
    <w:rsid w:val="00723DA7"/>
    <w:rsid w:val="00723E20"/>
    <w:rsid w:val="00723FF1"/>
    <w:rsid w:val="00724163"/>
    <w:rsid w:val="00725262"/>
    <w:rsid w:val="00726E6F"/>
    <w:rsid w:val="00727D8D"/>
    <w:rsid w:val="00730634"/>
    <w:rsid w:val="0073063D"/>
    <w:rsid w:val="00730DFC"/>
    <w:rsid w:val="0073129C"/>
    <w:rsid w:val="007326D2"/>
    <w:rsid w:val="00732941"/>
    <w:rsid w:val="00732E75"/>
    <w:rsid w:val="00733A14"/>
    <w:rsid w:val="00733BFD"/>
    <w:rsid w:val="0073441A"/>
    <w:rsid w:val="0073480E"/>
    <w:rsid w:val="00734FDF"/>
    <w:rsid w:val="0073750A"/>
    <w:rsid w:val="0073797A"/>
    <w:rsid w:val="007401F2"/>
    <w:rsid w:val="00740FF9"/>
    <w:rsid w:val="00741330"/>
    <w:rsid w:val="00742CD2"/>
    <w:rsid w:val="00742E9E"/>
    <w:rsid w:val="00743532"/>
    <w:rsid w:val="00743681"/>
    <w:rsid w:val="007444BD"/>
    <w:rsid w:val="00744AEA"/>
    <w:rsid w:val="007454B9"/>
    <w:rsid w:val="0074656B"/>
    <w:rsid w:val="0074711B"/>
    <w:rsid w:val="00747AD6"/>
    <w:rsid w:val="007517EC"/>
    <w:rsid w:val="007533E5"/>
    <w:rsid w:val="0075357A"/>
    <w:rsid w:val="00755C43"/>
    <w:rsid w:val="007568B7"/>
    <w:rsid w:val="00756F1D"/>
    <w:rsid w:val="00757A2B"/>
    <w:rsid w:val="00757BEA"/>
    <w:rsid w:val="00760A04"/>
    <w:rsid w:val="00760B09"/>
    <w:rsid w:val="00763443"/>
    <w:rsid w:val="00765159"/>
    <w:rsid w:val="0076526B"/>
    <w:rsid w:val="00765461"/>
    <w:rsid w:val="0076559E"/>
    <w:rsid w:val="007662C6"/>
    <w:rsid w:val="0076667F"/>
    <w:rsid w:val="00766783"/>
    <w:rsid w:val="00767227"/>
    <w:rsid w:val="007677C1"/>
    <w:rsid w:val="007714C8"/>
    <w:rsid w:val="00771AAF"/>
    <w:rsid w:val="00772347"/>
    <w:rsid w:val="007723FB"/>
    <w:rsid w:val="00773ED0"/>
    <w:rsid w:val="00775BB9"/>
    <w:rsid w:val="00776246"/>
    <w:rsid w:val="0077674C"/>
    <w:rsid w:val="007776EC"/>
    <w:rsid w:val="00780FD2"/>
    <w:rsid w:val="00781141"/>
    <w:rsid w:val="00781D98"/>
    <w:rsid w:val="00782044"/>
    <w:rsid w:val="00783D12"/>
    <w:rsid w:val="00783F62"/>
    <w:rsid w:val="00784173"/>
    <w:rsid w:val="00784AB7"/>
    <w:rsid w:val="00785664"/>
    <w:rsid w:val="00791FA3"/>
    <w:rsid w:val="007942F3"/>
    <w:rsid w:val="00795A69"/>
    <w:rsid w:val="0079641F"/>
    <w:rsid w:val="00796D59"/>
    <w:rsid w:val="00797428"/>
    <w:rsid w:val="007A2A79"/>
    <w:rsid w:val="007A3E70"/>
    <w:rsid w:val="007A4552"/>
    <w:rsid w:val="007A48EF"/>
    <w:rsid w:val="007A530D"/>
    <w:rsid w:val="007A5AEE"/>
    <w:rsid w:val="007A5C81"/>
    <w:rsid w:val="007A7226"/>
    <w:rsid w:val="007A78A0"/>
    <w:rsid w:val="007A7F3A"/>
    <w:rsid w:val="007B0351"/>
    <w:rsid w:val="007B0424"/>
    <w:rsid w:val="007B2B02"/>
    <w:rsid w:val="007B3E76"/>
    <w:rsid w:val="007B42A5"/>
    <w:rsid w:val="007B5251"/>
    <w:rsid w:val="007B58B1"/>
    <w:rsid w:val="007B5F9A"/>
    <w:rsid w:val="007B6A40"/>
    <w:rsid w:val="007B6CFA"/>
    <w:rsid w:val="007B6F5A"/>
    <w:rsid w:val="007B7C02"/>
    <w:rsid w:val="007C07D6"/>
    <w:rsid w:val="007C0F0C"/>
    <w:rsid w:val="007C1836"/>
    <w:rsid w:val="007C1C3D"/>
    <w:rsid w:val="007C2FC3"/>
    <w:rsid w:val="007C300D"/>
    <w:rsid w:val="007C3219"/>
    <w:rsid w:val="007C37AE"/>
    <w:rsid w:val="007C510E"/>
    <w:rsid w:val="007C5491"/>
    <w:rsid w:val="007C5F0A"/>
    <w:rsid w:val="007C7B3B"/>
    <w:rsid w:val="007D03FA"/>
    <w:rsid w:val="007D11DE"/>
    <w:rsid w:val="007D1A1F"/>
    <w:rsid w:val="007D1C94"/>
    <w:rsid w:val="007D2D46"/>
    <w:rsid w:val="007D2DA2"/>
    <w:rsid w:val="007D3374"/>
    <w:rsid w:val="007D46E2"/>
    <w:rsid w:val="007D4873"/>
    <w:rsid w:val="007D493C"/>
    <w:rsid w:val="007D5347"/>
    <w:rsid w:val="007D5893"/>
    <w:rsid w:val="007D728F"/>
    <w:rsid w:val="007E059D"/>
    <w:rsid w:val="007E4073"/>
    <w:rsid w:val="007E47E1"/>
    <w:rsid w:val="007E4C10"/>
    <w:rsid w:val="007E58CC"/>
    <w:rsid w:val="007E58DA"/>
    <w:rsid w:val="007E595F"/>
    <w:rsid w:val="007E6E15"/>
    <w:rsid w:val="007E7309"/>
    <w:rsid w:val="007E7998"/>
    <w:rsid w:val="007F01AB"/>
    <w:rsid w:val="007F16F2"/>
    <w:rsid w:val="007F1BF1"/>
    <w:rsid w:val="007F2B3C"/>
    <w:rsid w:val="007F2D3B"/>
    <w:rsid w:val="007F2F0E"/>
    <w:rsid w:val="007F36ED"/>
    <w:rsid w:val="007F4214"/>
    <w:rsid w:val="007F4F62"/>
    <w:rsid w:val="008003E9"/>
    <w:rsid w:val="00800BBA"/>
    <w:rsid w:val="0080140A"/>
    <w:rsid w:val="00801DDA"/>
    <w:rsid w:val="00801EFF"/>
    <w:rsid w:val="00803406"/>
    <w:rsid w:val="0080365C"/>
    <w:rsid w:val="00803E7C"/>
    <w:rsid w:val="008058F6"/>
    <w:rsid w:val="00805A10"/>
    <w:rsid w:val="00805C8A"/>
    <w:rsid w:val="008065D7"/>
    <w:rsid w:val="0081026D"/>
    <w:rsid w:val="008122F2"/>
    <w:rsid w:val="00812D36"/>
    <w:rsid w:val="00812F64"/>
    <w:rsid w:val="0081441F"/>
    <w:rsid w:val="00816906"/>
    <w:rsid w:val="00816930"/>
    <w:rsid w:val="008201ED"/>
    <w:rsid w:val="0082144A"/>
    <w:rsid w:val="00821941"/>
    <w:rsid w:val="0082274F"/>
    <w:rsid w:val="00822B19"/>
    <w:rsid w:val="00823420"/>
    <w:rsid w:val="008238ED"/>
    <w:rsid w:val="00823E0A"/>
    <w:rsid w:val="00823E50"/>
    <w:rsid w:val="00823EE1"/>
    <w:rsid w:val="0082593E"/>
    <w:rsid w:val="00827488"/>
    <w:rsid w:val="008300F7"/>
    <w:rsid w:val="008307B7"/>
    <w:rsid w:val="00832C18"/>
    <w:rsid w:val="00832F64"/>
    <w:rsid w:val="0083395C"/>
    <w:rsid w:val="00835FFE"/>
    <w:rsid w:val="008368BD"/>
    <w:rsid w:val="00837768"/>
    <w:rsid w:val="00840CB5"/>
    <w:rsid w:val="00841731"/>
    <w:rsid w:val="00843D25"/>
    <w:rsid w:val="008443B1"/>
    <w:rsid w:val="00844475"/>
    <w:rsid w:val="00844BB3"/>
    <w:rsid w:val="008462E3"/>
    <w:rsid w:val="00850D68"/>
    <w:rsid w:val="00851130"/>
    <w:rsid w:val="00853423"/>
    <w:rsid w:val="0085363E"/>
    <w:rsid w:val="00853951"/>
    <w:rsid w:val="008540E1"/>
    <w:rsid w:val="008558A9"/>
    <w:rsid w:val="00855F09"/>
    <w:rsid w:val="00860DF3"/>
    <w:rsid w:val="00862352"/>
    <w:rsid w:val="00863CC4"/>
    <w:rsid w:val="00863D8F"/>
    <w:rsid w:val="008641F6"/>
    <w:rsid w:val="00865394"/>
    <w:rsid w:val="00865C28"/>
    <w:rsid w:val="008709AA"/>
    <w:rsid w:val="00871389"/>
    <w:rsid w:val="00871995"/>
    <w:rsid w:val="0087522E"/>
    <w:rsid w:val="00875727"/>
    <w:rsid w:val="00875F0A"/>
    <w:rsid w:val="008769F9"/>
    <w:rsid w:val="00876CEC"/>
    <w:rsid w:val="00876E55"/>
    <w:rsid w:val="00876F78"/>
    <w:rsid w:val="00877A11"/>
    <w:rsid w:val="00877B2E"/>
    <w:rsid w:val="008810EF"/>
    <w:rsid w:val="00881198"/>
    <w:rsid w:val="00881373"/>
    <w:rsid w:val="00881581"/>
    <w:rsid w:val="0088195E"/>
    <w:rsid w:val="00882767"/>
    <w:rsid w:val="00883E8D"/>
    <w:rsid w:val="00885FBC"/>
    <w:rsid w:val="0088723C"/>
    <w:rsid w:val="008874CC"/>
    <w:rsid w:val="00891AE4"/>
    <w:rsid w:val="00895BFE"/>
    <w:rsid w:val="00895FDB"/>
    <w:rsid w:val="00896DB0"/>
    <w:rsid w:val="008A0B24"/>
    <w:rsid w:val="008A29DB"/>
    <w:rsid w:val="008A2CC9"/>
    <w:rsid w:val="008A32BB"/>
    <w:rsid w:val="008A3D56"/>
    <w:rsid w:val="008A41E1"/>
    <w:rsid w:val="008A5A36"/>
    <w:rsid w:val="008A6AFB"/>
    <w:rsid w:val="008B203A"/>
    <w:rsid w:val="008B22D3"/>
    <w:rsid w:val="008B23EA"/>
    <w:rsid w:val="008B3A7F"/>
    <w:rsid w:val="008B3C31"/>
    <w:rsid w:val="008B48EB"/>
    <w:rsid w:val="008B5078"/>
    <w:rsid w:val="008B56A8"/>
    <w:rsid w:val="008B5838"/>
    <w:rsid w:val="008B647E"/>
    <w:rsid w:val="008B6CAE"/>
    <w:rsid w:val="008B6E6F"/>
    <w:rsid w:val="008C1F2E"/>
    <w:rsid w:val="008C27B9"/>
    <w:rsid w:val="008C2ADF"/>
    <w:rsid w:val="008C5A92"/>
    <w:rsid w:val="008C681C"/>
    <w:rsid w:val="008C6CA5"/>
    <w:rsid w:val="008C6CB5"/>
    <w:rsid w:val="008D1181"/>
    <w:rsid w:val="008D2522"/>
    <w:rsid w:val="008D29DF"/>
    <w:rsid w:val="008D389E"/>
    <w:rsid w:val="008D4E96"/>
    <w:rsid w:val="008D64F6"/>
    <w:rsid w:val="008D74C8"/>
    <w:rsid w:val="008D7DB5"/>
    <w:rsid w:val="008E0403"/>
    <w:rsid w:val="008E08C5"/>
    <w:rsid w:val="008E0B7F"/>
    <w:rsid w:val="008E0FF6"/>
    <w:rsid w:val="008E1A51"/>
    <w:rsid w:val="008E237B"/>
    <w:rsid w:val="008E34F2"/>
    <w:rsid w:val="008E36AF"/>
    <w:rsid w:val="008E4221"/>
    <w:rsid w:val="008E4C85"/>
    <w:rsid w:val="008E5C42"/>
    <w:rsid w:val="008E791A"/>
    <w:rsid w:val="008E7C4F"/>
    <w:rsid w:val="008E7CBD"/>
    <w:rsid w:val="008F0082"/>
    <w:rsid w:val="008F032E"/>
    <w:rsid w:val="008F0DFC"/>
    <w:rsid w:val="008F337C"/>
    <w:rsid w:val="008F4464"/>
    <w:rsid w:val="008F4834"/>
    <w:rsid w:val="008F4A08"/>
    <w:rsid w:val="008F4C02"/>
    <w:rsid w:val="008F4D1E"/>
    <w:rsid w:val="008F57FA"/>
    <w:rsid w:val="008F585E"/>
    <w:rsid w:val="00900E0B"/>
    <w:rsid w:val="009014E5"/>
    <w:rsid w:val="0090228B"/>
    <w:rsid w:val="00902457"/>
    <w:rsid w:val="00903857"/>
    <w:rsid w:val="009039D8"/>
    <w:rsid w:val="00903A4B"/>
    <w:rsid w:val="00903B9E"/>
    <w:rsid w:val="00903BC1"/>
    <w:rsid w:val="009042AC"/>
    <w:rsid w:val="0090477C"/>
    <w:rsid w:val="009069B7"/>
    <w:rsid w:val="00907133"/>
    <w:rsid w:val="009113C4"/>
    <w:rsid w:val="00911D32"/>
    <w:rsid w:val="0091359D"/>
    <w:rsid w:val="00913BED"/>
    <w:rsid w:val="00915054"/>
    <w:rsid w:val="00917A46"/>
    <w:rsid w:val="00917D63"/>
    <w:rsid w:val="00920E21"/>
    <w:rsid w:val="00921390"/>
    <w:rsid w:val="009222B9"/>
    <w:rsid w:val="00922362"/>
    <w:rsid w:val="00922D7A"/>
    <w:rsid w:val="00923125"/>
    <w:rsid w:val="009239AB"/>
    <w:rsid w:val="0092547E"/>
    <w:rsid w:val="009272A0"/>
    <w:rsid w:val="0093020D"/>
    <w:rsid w:val="00930AE2"/>
    <w:rsid w:val="00930BEB"/>
    <w:rsid w:val="00932BB8"/>
    <w:rsid w:val="00932F45"/>
    <w:rsid w:val="009335AC"/>
    <w:rsid w:val="00934CD9"/>
    <w:rsid w:val="00934FA4"/>
    <w:rsid w:val="009359CA"/>
    <w:rsid w:val="0093697A"/>
    <w:rsid w:val="00936CF2"/>
    <w:rsid w:val="0093738C"/>
    <w:rsid w:val="009377A7"/>
    <w:rsid w:val="009377F1"/>
    <w:rsid w:val="00941DAE"/>
    <w:rsid w:val="00941F50"/>
    <w:rsid w:val="00941FB2"/>
    <w:rsid w:val="009436B8"/>
    <w:rsid w:val="009458B3"/>
    <w:rsid w:val="009472E9"/>
    <w:rsid w:val="00947753"/>
    <w:rsid w:val="0094777F"/>
    <w:rsid w:val="00947B39"/>
    <w:rsid w:val="00950194"/>
    <w:rsid w:val="00950635"/>
    <w:rsid w:val="00950D45"/>
    <w:rsid w:val="00951D7C"/>
    <w:rsid w:val="009520D9"/>
    <w:rsid w:val="009527F7"/>
    <w:rsid w:val="00952CB8"/>
    <w:rsid w:val="00952FB5"/>
    <w:rsid w:val="00953AD5"/>
    <w:rsid w:val="0095509A"/>
    <w:rsid w:val="009564C0"/>
    <w:rsid w:val="009603E5"/>
    <w:rsid w:val="00960B21"/>
    <w:rsid w:val="00960F9E"/>
    <w:rsid w:val="00960FC4"/>
    <w:rsid w:val="00961491"/>
    <w:rsid w:val="009620F3"/>
    <w:rsid w:val="00963382"/>
    <w:rsid w:val="009633FA"/>
    <w:rsid w:val="009641F5"/>
    <w:rsid w:val="009642DE"/>
    <w:rsid w:val="009649D5"/>
    <w:rsid w:val="0096549F"/>
    <w:rsid w:val="00965DB3"/>
    <w:rsid w:val="009660FF"/>
    <w:rsid w:val="00966189"/>
    <w:rsid w:val="0096673A"/>
    <w:rsid w:val="009667A3"/>
    <w:rsid w:val="0097127D"/>
    <w:rsid w:val="00971411"/>
    <w:rsid w:val="009726B5"/>
    <w:rsid w:val="009733A6"/>
    <w:rsid w:val="009737F0"/>
    <w:rsid w:val="00973879"/>
    <w:rsid w:val="00973D1B"/>
    <w:rsid w:val="0097495E"/>
    <w:rsid w:val="009753C3"/>
    <w:rsid w:val="00975C57"/>
    <w:rsid w:val="00975ED4"/>
    <w:rsid w:val="009773B8"/>
    <w:rsid w:val="00980CE8"/>
    <w:rsid w:val="00981FD0"/>
    <w:rsid w:val="0098230F"/>
    <w:rsid w:val="00982740"/>
    <w:rsid w:val="009829F8"/>
    <w:rsid w:val="00984A2D"/>
    <w:rsid w:val="009857D9"/>
    <w:rsid w:val="00985874"/>
    <w:rsid w:val="00986715"/>
    <w:rsid w:val="00987015"/>
    <w:rsid w:val="00987DB2"/>
    <w:rsid w:val="00990252"/>
    <w:rsid w:val="00990C4F"/>
    <w:rsid w:val="009914E5"/>
    <w:rsid w:val="00992433"/>
    <w:rsid w:val="00992A57"/>
    <w:rsid w:val="009937A2"/>
    <w:rsid w:val="009941E7"/>
    <w:rsid w:val="00994C51"/>
    <w:rsid w:val="00996151"/>
    <w:rsid w:val="00996F79"/>
    <w:rsid w:val="009971AE"/>
    <w:rsid w:val="009A00D6"/>
    <w:rsid w:val="009A00F9"/>
    <w:rsid w:val="009A0339"/>
    <w:rsid w:val="009A0DA2"/>
    <w:rsid w:val="009A0E58"/>
    <w:rsid w:val="009A226C"/>
    <w:rsid w:val="009A231B"/>
    <w:rsid w:val="009A32AB"/>
    <w:rsid w:val="009A3610"/>
    <w:rsid w:val="009A3BB8"/>
    <w:rsid w:val="009A3E5F"/>
    <w:rsid w:val="009A477A"/>
    <w:rsid w:val="009A4902"/>
    <w:rsid w:val="009A4C24"/>
    <w:rsid w:val="009A6391"/>
    <w:rsid w:val="009A6BC7"/>
    <w:rsid w:val="009A6DE1"/>
    <w:rsid w:val="009B0EC2"/>
    <w:rsid w:val="009B1A15"/>
    <w:rsid w:val="009B1AFA"/>
    <w:rsid w:val="009B1C54"/>
    <w:rsid w:val="009B48CE"/>
    <w:rsid w:val="009B67C8"/>
    <w:rsid w:val="009B6DE9"/>
    <w:rsid w:val="009B78F5"/>
    <w:rsid w:val="009C0D45"/>
    <w:rsid w:val="009C0D4F"/>
    <w:rsid w:val="009C1013"/>
    <w:rsid w:val="009C12AE"/>
    <w:rsid w:val="009C1404"/>
    <w:rsid w:val="009C1705"/>
    <w:rsid w:val="009C2244"/>
    <w:rsid w:val="009C2A9C"/>
    <w:rsid w:val="009C799D"/>
    <w:rsid w:val="009D0587"/>
    <w:rsid w:val="009D0FF0"/>
    <w:rsid w:val="009D1888"/>
    <w:rsid w:val="009D1C81"/>
    <w:rsid w:val="009D1F4A"/>
    <w:rsid w:val="009D2341"/>
    <w:rsid w:val="009D3A0C"/>
    <w:rsid w:val="009D3D83"/>
    <w:rsid w:val="009D43B4"/>
    <w:rsid w:val="009D4CDB"/>
    <w:rsid w:val="009D54E3"/>
    <w:rsid w:val="009D7311"/>
    <w:rsid w:val="009D7BAC"/>
    <w:rsid w:val="009E0230"/>
    <w:rsid w:val="009E1F2F"/>
    <w:rsid w:val="009E25B2"/>
    <w:rsid w:val="009E3100"/>
    <w:rsid w:val="009E4DAC"/>
    <w:rsid w:val="009E5EFE"/>
    <w:rsid w:val="009E60C4"/>
    <w:rsid w:val="009E6570"/>
    <w:rsid w:val="009E6875"/>
    <w:rsid w:val="009E6F9D"/>
    <w:rsid w:val="009E71AE"/>
    <w:rsid w:val="009E7431"/>
    <w:rsid w:val="009E77F0"/>
    <w:rsid w:val="009F0279"/>
    <w:rsid w:val="009F05EE"/>
    <w:rsid w:val="009F0B7A"/>
    <w:rsid w:val="009F0B82"/>
    <w:rsid w:val="009F2D40"/>
    <w:rsid w:val="009F42BF"/>
    <w:rsid w:val="009F44F6"/>
    <w:rsid w:val="009F7C28"/>
    <w:rsid w:val="00A00632"/>
    <w:rsid w:val="00A006C7"/>
    <w:rsid w:val="00A00CC6"/>
    <w:rsid w:val="00A0161B"/>
    <w:rsid w:val="00A01CDD"/>
    <w:rsid w:val="00A033D9"/>
    <w:rsid w:val="00A042D9"/>
    <w:rsid w:val="00A064FF"/>
    <w:rsid w:val="00A06913"/>
    <w:rsid w:val="00A06B5A"/>
    <w:rsid w:val="00A06E43"/>
    <w:rsid w:val="00A100CC"/>
    <w:rsid w:val="00A102E4"/>
    <w:rsid w:val="00A1133E"/>
    <w:rsid w:val="00A1148C"/>
    <w:rsid w:val="00A12C26"/>
    <w:rsid w:val="00A153ED"/>
    <w:rsid w:val="00A16668"/>
    <w:rsid w:val="00A16931"/>
    <w:rsid w:val="00A16B7D"/>
    <w:rsid w:val="00A16D0A"/>
    <w:rsid w:val="00A179C0"/>
    <w:rsid w:val="00A200EB"/>
    <w:rsid w:val="00A21228"/>
    <w:rsid w:val="00A23871"/>
    <w:rsid w:val="00A23992"/>
    <w:rsid w:val="00A23DF6"/>
    <w:rsid w:val="00A2474D"/>
    <w:rsid w:val="00A26062"/>
    <w:rsid w:val="00A27E55"/>
    <w:rsid w:val="00A27EFA"/>
    <w:rsid w:val="00A30E61"/>
    <w:rsid w:val="00A310F4"/>
    <w:rsid w:val="00A3181F"/>
    <w:rsid w:val="00A32165"/>
    <w:rsid w:val="00A33441"/>
    <w:rsid w:val="00A33730"/>
    <w:rsid w:val="00A34F50"/>
    <w:rsid w:val="00A350D7"/>
    <w:rsid w:val="00A3596C"/>
    <w:rsid w:val="00A36332"/>
    <w:rsid w:val="00A36626"/>
    <w:rsid w:val="00A425A0"/>
    <w:rsid w:val="00A425DE"/>
    <w:rsid w:val="00A429AD"/>
    <w:rsid w:val="00A430D8"/>
    <w:rsid w:val="00A4377A"/>
    <w:rsid w:val="00A438ED"/>
    <w:rsid w:val="00A4436D"/>
    <w:rsid w:val="00A44A10"/>
    <w:rsid w:val="00A44BCA"/>
    <w:rsid w:val="00A44E04"/>
    <w:rsid w:val="00A45B76"/>
    <w:rsid w:val="00A46073"/>
    <w:rsid w:val="00A46F8C"/>
    <w:rsid w:val="00A51FFE"/>
    <w:rsid w:val="00A52369"/>
    <w:rsid w:val="00A52802"/>
    <w:rsid w:val="00A536CC"/>
    <w:rsid w:val="00A550A8"/>
    <w:rsid w:val="00A5531A"/>
    <w:rsid w:val="00A554DD"/>
    <w:rsid w:val="00A55FF1"/>
    <w:rsid w:val="00A6156D"/>
    <w:rsid w:val="00A615E0"/>
    <w:rsid w:val="00A620F3"/>
    <w:rsid w:val="00A62FC5"/>
    <w:rsid w:val="00A63500"/>
    <w:rsid w:val="00A63B44"/>
    <w:rsid w:val="00A640A1"/>
    <w:rsid w:val="00A6474E"/>
    <w:rsid w:val="00A64A14"/>
    <w:rsid w:val="00A64A4C"/>
    <w:rsid w:val="00A65D9D"/>
    <w:rsid w:val="00A6625D"/>
    <w:rsid w:val="00A667CC"/>
    <w:rsid w:val="00A668C0"/>
    <w:rsid w:val="00A66F7D"/>
    <w:rsid w:val="00A70DE9"/>
    <w:rsid w:val="00A720A6"/>
    <w:rsid w:val="00A76B88"/>
    <w:rsid w:val="00A77CC7"/>
    <w:rsid w:val="00A77F0E"/>
    <w:rsid w:val="00A805B3"/>
    <w:rsid w:val="00A8065C"/>
    <w:rsid w:val="00A82CDE"/>
    <w:rsid w:val="00A83043"/>
    <w:rsid w:val="00A848A8"/>
    <w:rsid w:val="00A850FC"/>
    <w:rsid w:val="00A9055D"/>
    <w:rsid w:val="00A907A1"/>
    <w:rsid w:val="00A90C09"/>
    <w:rsid w:val="00A925E3"/>
    <w:rsid w:val="00A928E4"/>
    <w:rsid w:val="00A945B5"/>
    <w:rsid w:val="00A954DF"/>
    <w:rsid w:val="00A971F3"/>
    <w:rsid w:val="00AA0461"/>
    <w:rsid w:val="00AA04F0"/>
    <w:rsid w:val="00AA1FB0"/>
    <w:rsid w:val="00AA2460"/>
    <w:rsid w:val="00AA2A5E"/>
    <w:rsid w:val="00AA30B5"/>
    <w:rsid w:val="00AA3E6F"/>
    <w:rsid w:val="00AA4245"/>
    <w:rsid w:val="00AA57A9"/>
    <w:rsid w:val="00AB06CD"/>
    <w:rsid w:val="00AB0AF4"/>
    <w:rsid w:val="00AB0CDE"/>
    <w:rsid w:val="00AB0EEA"/>
    <w:rsid w:val="00AB1798"/>
    <w:rsid w:val="00AB287D"/>
    <w:rsid w:val="00AB3CC8"/>
    <w:rsid w:val="00AB3EED"/>
    <w:rsid w:val="00AB4405"/>
    <w:rsid w:val="00AB44B3"/>
    <w:rsid w:val="00AB4E40"/>
    <w:rsid w:val="00AB56ED"/>
    <w:rsid w:val="00AB5E01"/>
    <w:rsid w:val="00AB747A"/>
    <w:rsid w:val="00AB7A5E"/>
    <w:rsid w:val="00AC0548"/>
    <w:rsid w:val="00AC0ECA"/>
    <w:rsid w:val="00AC2119"/>
    <w:rsid w:val="00AC280C"/>
    <w:rsid w:val="00AC2F8D"/>
    <w:rsid w:val="00AC3741"/>
    <w:rsid w:val="00AC37A4"/>
    <w:rsid w:val="00AC3DC2"/>
    <w:rsid w:val="00AC3FD5"/>
    <w:rsid w:val="00AC4F23"/>
    <w:rsid w:val="00AC65EE"/>
    <w:rsid w:val="00AD0AA8"/>
    <w:rsid w:val="00AD12EF"/>
    <w:rsid w:val="00AD1589"/>
    <w:rsid w:val="00AD1D8B"/>
    <w:rsid w:val="00AD250C"/>
    <w:rsid w:val="00AD2896"/>
    <w:rsid w:val="00AD2A09"/>
    <w:rsid w:val="00AD32A9"/>
    <w:rsid w:val="00AD388A"/>
    <w:rsid w:val="00AD399A"/>
    <w:rsid w:val="00AD3CF3"/>
    <w:rsid w:val="00AD3CF5"/>
    <w:rsid w:val="00AD4930"/>
    <w:rsid w:val="00AD4A09"/>
    <w:rsid w:val="00AD4D33"/>
    <w:rsid w:val="00AD7048"/>
    <w:rsid w:val="00AE036D"/>
    <w:rsid w:val="00AE0428"/>
    <w:rsid w:val="00AE0636"/>
    <w:rsid w:val="00AE1161"/>
    <w:rsid w:val="00AE26EA"/>
    <w:rsid w:val="00AE388E"/>
    <w:rsid w:val="00AE3B91"/>
    <w:rsid w:val="00AE48AF"/>
    <w:rsid w:val="00AE5CFD"/>
    <w:rsid w:val="00AE65A8"/>
    <w:rsid w:val="00AE7CB6"/>
    <w:rsid w:val="00AF1097"/>
    <w:rsid w:val="00AF33F5"/>
    <w:rsid w:val="00AF409D"/>
    <w:rsid w:val="00AF5369"/>
    <w:rsid w:val="00AF5984"/>
    <w:rsid w:val="00AF6F2E"/>
    <w:rsid w:val="00AF73A0"/>
    <w:rsid w:val="00B0009F"/>
    <w:rsid w:val="00B00698"/>
    <w:rsid w:val="00B00E29"/>
    <w:rsid w:val="00B01992"/>
    <w:rsid w:val="00B01D6D"/>
    <w:rsid w:val="00B0299C"/>
    <w:rsid w:val="00B045D8"/>
    <w:rsid w:val="00B0533A"/>
    <w:rsid w:val="00B064D7"/>
    <w:rsid w:val="00B0703E"/>
    <w:rsid w:val="00B07E09"/>
    <w:rsid w:val="00B1069A"/>
    <w:rsid w:val="00B11D9D"/>
    <w:rsid w:val="00B13239"/>
    <w:rsid w:val="00B134E2"/>
    <w:rsid w:val="00B145FC"/>
    <w:rsid w:val="00B14C4E"/>
    <w:rsid w:val="00B175D2"/>
    <w:rsid w:val="00B21382"/>
    <w:rsid w:val="00B22048"/>
    <w:rsid w:val="00B236D0"/>
    <w:rsid w:val="00B243C5"/>
    <w:rsid w:val="00B249EA"/>
    <w:rsid w:val="00B24D72"/>
    <w:rsid w:val="00B24DC5"/>
    <w:rsid w:val="00B24E1D"/>
    <w:rsid w:val="00B25305"/>
    <w:rsid w:val="00B2761F"/>
    <w:rsid w:val="00B278D0"/>
    <w:rsid w:val="00B31203"/>
    <w:rsid w:val="00B312A9"/>
    <w:rsid w:val="00B329DE"/>
    <w:rsid w:val="00B33714"/>
    <w:rsid w:val="00B33890"/>
    <w:rsid w:val="00B344D8"/>
    <w:rsid w:val="00B35421"/>
    <w:rsid w:val="00B359C4"/>
    <w:rsid w:val="00B35B64"/>
    <w:rsid w:val="00B35BC7"/>
    <w:rsid w:val="00B3611A"/>
    <w:rsid w:val="00B3646D"/>
    <w:rsid w:val="00B364D5"/>
    <w:rsid w:val="00B375EA"/>
    <w:rsid w:val="00B4007B"/>
    <w:rsid w:val="00B40DEB"/>
    <w:rsid w:val="00B40F50"/>
    <w:rsid w:val="00B41AE8"/>
    <w:rsid w:val="00B426BB"/>
    <w:rsid w:val="00B42ABB"/>
    <w:rsid w:val="00B43C2A"/>
    <w:rsid w:val="00B44813"/>
    <w:rsid w:val="00B44CC6"/>
    <w:rsid w:val="00B45867"/>
    <w:rsid w:val="00B464F4"/>
    <w:rsid w:val="00B46871"/>
    <w:rsid w:val="00B477D4"/>
    <w:rsid w:val="00B50446"/>
    <w:rsid w:val="00B5060C"/>
    <w:rsid w:val="00B507E9"/>
    <w:rsid w:val="00B50D77"/>
    <w:rsid w:val="00B51E01"/>
    <w:rsid w:val="00B52D8C"/>
    <w:rsid w:val="00B536D0"/>
    <w:rsid w:val="00B57CC1"/>
    <w:rsid w:val="00B57FC0"/>
    <w:rsid w:val="00B61933"/>
    <w:rsid w:val="00B62452"/>
    <w:rsid w:val="00B62501"/>
    <w:rsid w:val="00B63119"/>
    <w:rsid w:val="00B637C7"/>
    <w:rsid w:val="00B641CC"/>
    <w:rsid w:val="00B64652"/>
    <w:rsid w:val="00B64E72"/>
    <w:rsid w:val="00B65F0F"/>
    <w:rsid w:val="00B66033"/>
    <w:rsid w:val="00B660A3"/>
    <w:rsid w:val="00B66187"/>
    <w:rsid w:val="00B67BF5"/>
    <w:rsid w:val="00B7424C"/>
    <w:rsid w:val="00B74E41"/>
    <w:rsid w:val="00B7506B"/>
    <w:rsid w:val="00B767F8"/>
    <w:rsid w:val="00B7753F"/>
    <w:rsid w:val="00B80152"/>
    <w:rsid w:val="00B807F5"/>
    <w:rsid w:val="00B81A60"/>
    <w:rsid w:val="00B829EF"/>
    <w:rsid w:val="00B83155"/>
    <w:rsid w:val="00B83886"/>
    <w:rsid w:val="00B8595B"/>
    <w:rsid w:val="00B85A9B"/>
    <w:rsid w:val="00B862F4"/>
    <w:rsid w:val="00B8773A"/>
    <w:rsid w:val="00B90330"/>
    <w:rsid w:val="00B91B52"/>
    <w:rsid w:val="00B91B8A"/>
    <w:rsid w:val="00B931C4"/>
    <w:rsid w:val="00B933F3"/>
    <w:rsid w:val="00B93A77"/>
    <w:rsid w:val="00B943A5"/>
    <w:rsid w:val="00B94942"/>
    <w:rsid w:val="00B95C34"/>
    <w:rsid w:val="00B95DA2"/>
    <w:rsid w:val="00B96D00"/>
    <w:rsid w:val="00B97390"/>
    <w:rsid w:val="00B9778F"/>
    <w:rsid w:val="00BA018B"/>
    <w:rsid w:val="00BA0C46"/>
    <w:rsid w:val="00BA0F8C"/>
    <w:rsid w:val="00BA2C2E"/>
    <w:rsid w:val="00BA3D38"/>
    <w:rsid w:val="00BA426A"/>
    <w:rsid w:val="00BA5EAA"/>
    <w:rsid w:val="00BA6203"/>
    <w:rsid w:val="00BA740C"/>
    <w:rsid w:val="00BA7C5B"/>
    <w:rsid w:val="00BA7D8C"/>
    <w:rsid w:val="00BB0399"/>
    <w:rsid w:val="00BB0792"/>
    <w:rsid w:val="00BB18DC"/>
    <w:rsid w:val="00BB194D"/>
    <w:rsid w:val="00BB2D88"/>
    <w:rsid w:val="00BB3096"/>
    <w:rsid w:val="00BB3C52"/>
    <w:rsid w:val="00BB3F09"/>
    <w:rsid w:val="00BB4336"/>
    <w:rsid w:val="00BB5D80"/>
    <w:rsid w:val="00BB7586"/>
    <w:rsid w:val="00BB7BEF"/>
    <w:rsid w:val="00BB7EAF"/>
    <w:rsid w:val="00BB7F42"/>
    <w:rsid w:val="00BC13F6"/>
    <w:rsid w:val="00BC14F9"/>
    <w:rsid w:val="00BC1FF0"/>
    <w:rsid w:val="00BC32DC"/>
    <w:rsid w:val="00BC60DF"/>
    <w:rsid w:val="00BC6259"/>
    <w:rsid w:val="00BC693F"/>
    <w:rsid w:val="00BD069E"/>
    <w:rsid w:val="00BD1094"/>
    <w:rsid w:val="00BD1FF2"/>
    <w:rsid w:val="00BD460B"/>
    <w:rsid w:val="00BD4E83"/>
    <w:rsid w:val="00BE0C4A"/>
    <w:rsid w:val="00BE2EBB"/>
    <w:rsid w:val="00BE4039"/>
    <w:rsid w:val="00BE4918"/>
    <w:rsid w:val="00BE5108"/>
    <w:rsid w:val="00BE5202"/>
    <w:rsid w:val="00BE73BD"/>
    <w:rsid w:val="00BE7C93"/>
    <w:rsid w:val="00BF09F5"/>
    <w:rsid w:val="00BF33F2"/>
    <w:rsid w:val="00BF47D0"/>
    <w:rsid w:val="00BF6691"/>
    <w:rsid w:val="00BF66B0"/>
    <w:rsid w:val="00BF6771"/>
    <w:rsid w:val="00BF7314"/>
    <w:rsid w:val="00BF73E2"/>
    <w:rsid w:val="00BF7C62"/>
    <w:rsid w:val="00C00839"/>
    <w:rsid w:val="00C01228"/>
    <w:rsid w:val="00C0173B"/>
    <w:rsid w:val="00C026F5"/>
    <w:rsid w:val="00C03F88"/>
    <w:rsid w:val="00C040D1"/>
    <w:rsid w:val="00C04E01"/>
    <w:rsid w:val="00C105C8"/>
    <w:rsid w:val="00C10D6E"/>
    <w:rsid w:val="00C10ED6"/>
    <w:rsid w:val="00C1123E"/>
    <w:rsid w:val="00C11E35"/>
    <w:rsid w:val="00C15FD8"/>
    <w:rsid w:val="00C17B56"/>
    <w:rsid w:val="00C205F8"/>
    <w:rsid w:val="00C20C12"/>
    <w:rsid w:val="00C214BE"/>
    <w:rsid w:val="00C2304F"/>
    <w:rsid w:val="00C23365"/>
    <w:rsid w:val="00C23532"/>
    <w:rsid w:val="00C2478E"/>
    <w:rsid w:val="00C2487E"/>
    <w:rsid w:val="00C24C6E"/>
    <w:rsid w:val="00C25C76"/>
    <w:rsid w:val="00C27563"/>
    <w:rsid w:val="00C30034"/>
    <w:rsid w:val="00C30B81"/>
    <w:rsid w:val="00C30E2C"/>
    <w:rsid w:val="00C317ED"/>
    <w:rsid w:val="00C31C2B"/>
    <w:rsid w:val="00C3278F"/>
    <w:rsid w:val="00C33676"/>
    <w:rsid w:val="00C35498"/>
    <w:rsid w:val="00C35883"/>
    <w:rsid w:val="00C35F12"/>
    <w:rsid w:val="00C362F8"/>
    <w:rsid w:val="00C37392"/>
    <w:rsid w:val="00C4121B"/>
    <w:rsid w:val="00C4155A"/>
    <w:rsid w:val="00C41839"/>
    <w:rsid w:val="00C41E28"/>
    <w:rsid w:val="00C4292C"/>
    <w:rsid w:val="00C43F5D"/>
    <w:rsid w:val="00C44100"/>
    <w:rsid w:val="00C44E15"/>
    <w:rsid w:val="00C45687"/>
    <w:rsid w:val="00C45810"/>
    <w:rsid w:val="00C45C3C"/>
    <w:rsid w:val="00C45FD3"/>
    <w:rsid w:val="00C469D4"/>
    <w:rsid w:val="00C46B29"/>
    <w:rsid w:val="00C46B2B"/>
    <w:rsid w:val="00C47345"/>
    <w:rsid w:val="00C47731"/>
    <w:rsid w:val="00C47C70"/>
    <w:rsid w:val="00C50BFA"/>
    <w:rsid w:val="00C5203E"/>
    <w:rsid w:val="00C52226"/>
    <w:rsid w:val="00C52886"/>
    <w:rsid w:val="00C529B0"/>
    <w:rsid w:val="00C5351F"/>
    <w:rsid w:val="00C555E5"/>
    <w:rsid w:val="00C56C5D"/>
    <w:rsid w:val="00C576DD"/>
    <w:rsid w:val="00C57B70"/>
    <w:rsid w:val="00C57D5D"/>
    <w:rsid w:val="00C57E87"/>
    <w:rsid w:val="00C6046D"/>
    <w:rsid w:val="00C606AC"/>
    <w:rsid w:val="00C60773"/>
    <w:rsid w:val="00C624A1"/>
    <w:rsid w:val="00C62C7D"/>
    <w:rsid w:val="00C63C8D"/>
    <w:rsid w:val="00C63D9B"/>
    <w:rsid w:val="00C63E59"/>
    <w:rsid w:val="00C665F9"/>
    <w:rsid w:val="00C67018"/>
    <w:rsid w:val="00C70FC9"/>
    <w:rsid w:val="00C71317"/>
    <w:rsid w:val="00C717B9"/>
    <w:rsid w:val="00C72AD5"/>
    <w:rsid w:val="00C72F15"/>
    <w:rsid w:val="00C736FB"/>
    <w:rsid w:val="00C73822"/>
    <w:rsid w:val="00C7497F"/>
    <w:rsid w:val="00C74FB7"/>
    <w:rsid w:val="00C75C53"/>
    <w:rsid w:val="00C77642"/>
    <w:rsid w:val="00C77833"/>
    <w:rsid w:val="00C80000"/>
    <w:rsid w:val="00C80040"/>
    <w:rsid w:val="00C80170"/>
    <w:rsid w:val="00C84484"/>
    <w:rsid w:val="00C860D2"/>
    <w:rsid w:val="00C8626D"/>
    <w:rsid w:val="00C867BF"/>
    <w:rsid w:val="00C86C84"/>
    <w:rsid w:val="00C907B8"/>
    <w:rsid w:val="00C9083B"/>
    <w:rsid w:val="00C90A35"/>
    <w:rsid w:val="00C9428A"/>
    <w:rsid w:val="00C944D5"/>
    <w:rsid w:val="00C945B3"/>
    <w:rsid w:val="00C9483E"/>
    <w:rsid w:val="00C94A1A"/>
    <w:rsid w:val="00C96C30"/>
    <w:rsid w:val="00C96C71"/>
    <w:rsid w:val="00C97009"/>
    <w:rsid w:val="00C9720D"/>
    <w:rsid w:val="00C97859"/>
    <w:rsid w:val="00C97955"/>
    <w:rsid w:val="00CA184B"/>
    <w:rsid w:val="00CA1D2E"/>
    <w:rsid w:val="00CA267C"/>
    <w:rsid w:val="00CA300A"/>
    <w:rsid w:val="00CA32C8"/>
    <w:rsid w:val="00CA4302"/>
    <w:rsid w:val="00CA5408"/>
    <w:rsid w:val="00CA57DB"/>
    <w:rsid w:val="00CA707C"/>
    <w:rsid w:val="00CA729B"/>
    <w:rsid w:val="00CA73C6"/>
    <w:rsid w:val="00CA7DAC"/>
    <w:rsid w:val="00CB098B"/>
    <w:rsid w:val="00CB1117"/>
    <w:rsid w:val="00CB1BD4"/>
    <w:rsid w:val="00CB2B34"/>
    <w:rsid w:val="00CB3553"/>
    <w:rsid w:val="00CB3D27"/>
    <w:rsid w:val="00CB3F6A"/>
    <w:rsid w:val="00CB418C"/>
    <w:rsid w:val="00CB50E9"/>
    <w:rsid w:val="00CB5765"/>
    <w:rsid w:val="00CB5C25"/>
    <w:rsid w:val="00CB5CED"/>
    <w:rsid w:val="00CB628C"/>
    <w:rsid w:val="00CB6452"/>
    <w:rsid w:val="00CB7FE3"/>
    <w:rsid w:val="00CC1323"/>
    <w:rsid w:val="00CC186D"/>
    <w:rsid w:val="00CC25C9"/>
    <w:rsid w:val="00CC2A3E"/>
    <w:rsid w:val="00CC319F"/>
    <w:rsid w:val="00CC37BA"/>
    <w:rsid w:val="00CC3DF7"/>
    <w:rsid w:val="00CC4560"/>
    <w:rsid w:val="00CC518B"/>
    <w:rsid w:val="00CC5BB5"/>
    <w:rsid w:val="00CC5F07"/>
    <w:rsid w:val="00CC62FF"/>
    <w:rsid w:val="00CD0411"/>
    <w:rsid w:val="00CD1005"/>
    <w:rsid w:val="00CD2942"/>
    <w:rsid w:val="00CD2ECC"/>
    <w:rsid w:val="00CD3182"/>
    <w:rsid w:val="00CD40BD"/>
    <w:rsid w:val="00CD5824"/>
    <w:rsid w:val="00CD5AA1"/>
    <w:rsid w:val="00CD5DC7"/>
    <w:rsid w:val="00CD69F6"/>
    <w:rsid w:val="00CD706B"/>
    <w:rsid w:val="00CD7A89"/>
    <w:rsid w:val="00CE2A34"/>
    <w:rsid w:val="00CE2EFB"/>
    <w:rsid w:val="00CE4EF0"/>
    <w:rsid w:val="00CE5D48"/>
    <w:rsid w:val="00CE6143"/>
    <w:rsid w:val="00CE7129"/>
    <w:rsid w:val="00CF0920"/>
    <w:rsid w:val="00CF09EA"/>
    <w:rsid w:val="00CF0F71"/>
    <w:rsid w:val="00CF16BA"/>
    <w:rsid w:val="00CF17E8"/>
    <w:rsid w:val="00CF33B0"/>
    <w:rsid w:val="00CF46A0"/>
    <w:rsid w:val="00CF4B99"/>
    <w:rsid w:val="00CF50FC"/>
    <w:rsid w:val="00CF520B"/>
    <w:rsid w:val="00CF5956"/>
    <w:rsid w:val="00CF5F51"/>
    <w:rsid w:val="00CF6658"/>
    <w:rsid w:val="00CF697B"/>
    <w:rsid w:val="00CF6D7F"/>
    <w:rsid w:val="00CF6E31"/>
    <w:rsid w:val="00CF71DA"/>
    <w:rsid w:val="00CF7412"/>
    <w:rsid w:val="00CF7576"/>
    <w:rsid w:val="00CF7A20"/>
    <w:rsid w:val="00D00100"/>
    <w:rsid w:val="00D01654"/>
    <w:rsid w:val="00D018EE"/>
    <w:rsid w:val="00D0546A"/>
    <w:rsid w:val="00D054E8"/>
    <w:rsid w:val="00D05D69"/>
    <w:rsid w:val="00D05EA8"/>
    <w:rsid w:val="00D06058"/>
    <w:rsid w:val="00D0775A"/>
    <w:rsid w:val="00D07A44"/>
    <w:rsid w:val="00D07D37"/>
    <w:rsid w:val="00D103BE"/>
    <w:rsid w:val="00D10438"/>
    <w:rsid w:val="00D10814"/>
    <w:rsid w:val="00D1173A"/>
    <w:rsid w:val="00D11C12"/>
    <w:rsid w:val="00D11F16"/>
    <w:rsid w:val="00D12BF9"/>
    <w:rsid w:val="00D131CF"/>
    <w:rsid w:val="00D133BA"/>
    <w:rsid w:val="00D1488C"/>
    <w:rsid w:val="00D148E4"/>
    <w:rsid w:val="00D14A04"/>
    <w:rsid w:val="00D15026"/>
    <w:rsid w:val="00D15178"/>
    <w:rsid w:val="00D15F08"/>
    <w:rsid w:val="00D15F46"/>
    <w:rsid w:val="00D165F7"/>
    <w:rsid w:val="00D166ED"/>
    <w:rsid w:val="00D1765C"/>
    <w:rsid w:val="00D17B55"/>
    <w:rsid w:val="00D17ED3"/>
    <w:rsid w:val="00D17F1F"/>
    <w:rsid w:val="00D2126E"/>
    <w:rsid w:val="00D212E4"/>
    <w:rsid w:val="00D219DF"/>
    <w:rsid w:val="00D24B95"/>
    <w:rsid w:val="00D24DC0"/>
    <w:rsid w:val="00D25424"/>
    <w:rsid w:val="00D26586"/>
    <w:rsid w:val="00D26C30"/>
    <w:rsid w:val="00D31860"/>
    <w:rsid w:val="00D32022"/>
    <w:rsid w:val="00D32864"/>
    <w:rsid w:val="00D32B8F"/>
    <w:rsid w:val="00D3350F"/>
    <w:rsid w:val="00D350F4"/>
    <w:rsid w:val="00D36946"/>
    <w:rsid w:val="00D40A9A"/>
    <w:rsid w:val="00D40ACD"/>
    <w:rsid w:val="00D40C2D"/>
    <w:rsid w:val="00D40F7A"/>
    <w:rsid w:val="00D41787"/>
    <w:rsid w:val="00D422AF"/>
    <w:rsid w:val="00D42A2B"/>
    <w:rsid w:val="00D42F84"/>
    <w:rsid w:val="00D43159"/>
    <w:rsid w:val="00D43A1E"/>
    <w:rsid w:val="00D443EA"/>
    <w:rsid w:val="00D44576"/>
    <w:rsid w:val="00D44EA1"/>
    <w:rsid w:val="00D470E7"/>
    <w:rsid w:val="00D479A4"/>
    <w:rsid w:val="00D514B7"/>
    <w:rsid w:val="00D5184C"/>
    <w:rsid w:val="00D522C9"/>
    <w:rsid w:val="00D522D3"/>
    <w:rsid w:val="00D53926"/>
    <w:rsid w:val="00D5414A"/>
    <w:rsid w:val="00D54810"/>
    <w:rsid w:val="00D55AC7"/>
    <w:rsid w:val="00D5632B"/>
    <w:rsid w:val="00D56BA8"/>
    <w:rsid w:val="00D56D34"/>
    <w:rsid w:val="00D60DB8"/>
    <w:rsid w:val="00D616ED"/>
    <w:rsid w:val="00D61F64"/>
    <w:rsid w:val="00D6201A"/>
    <w:rsid w:val="00D626B4"/>
    <w:rsid w:val="00D62840"/>
    <w:rsid w:val="00D63C92"/>
    <w:rsid w:val="00D66420"/>
    <w:rsid w:val="00D66844"/>
    <w:rsid w:val="00D669B6"/>
    <w:rsid w:val="00D67350"/>
    <w:rsid w:val="00D67AFF"/>
    <w:rsid w:val="00D701D2"/>
    <w:rsid w:val="00D70D29"/>
    <w:rsid w:val="00D711E8"/>
    <w:rsid w:val="00D726C2"/>
    <w:rsid w:val="00D72797"/>
    <w:rsid w:val="00D72A8E"/>
    <w:rsid w:val="00D72CDE"/>
    <w:rsid w:val="00D761E7"/>
    <w:rsid w:val="00D76393"/>
    <w:rsid w:val="00D76DCB"/>
    <w:rsid w:val="00D776B8"/>
    <w:rsid w:val="00D77AEE"/>
    <w:rsid w:val="00D77E33"/>
    <w:rsid w:val="00D81392"/>
    <w:rsid w:val="00D820B4"/>
    <w:rsid w:val="00D82F36"/>
    <w:rsid w:val="00D8592D"/>
    <w:rsid w:val="00D859BD"/>
    <w:rsid w:val="00D85CE1"/>
    <w:rsid w:val="00D87BD3"/>
    <w:rsid w:val="00D9173F"/>
    <w:rsid w:val="00D9369B"/>
    <w:rsid w:val="00D937F6"/>
    <w:rsid w:val="00D9396F"/>
    <w:rsid w:val="00D9454E"/>
    <w:rsid w:val="00D9491B"/>
    <w:rsid w:val="00D95174"/>
    <w:rsid w:val="00D95287"/>
    <w:rsid w:val="00D95676"/>
    <w:rsid w:val="00D95A63"/>
    <w:rsid w:val="00D95E75"/>
    <w:rsid w:val="00D961A0"/>
    <w:rsid w:val="00D96C60"/>
    <w:rsid w:val="00D974D2"/>
    <w:rsid w:val="00DA0D27"/>
    <w:rsid w:val="00DA1106"/>
    <w:rsid w:val="00DA1626"/>
    <w:rsid w:val="00DA2275"/>
    <w:rsid w:val="00DA2591"/>
    <w:rsid w:val="00DA44E4"/>
    <w:rsid w:val="00DA47F1"/>
    <w:rsid w:val="00DA7A53"/>
    <w:rsid w:val="00DA7B6A"/>
    <w:rsid w:val="00DB0822"/>
    <w:rsid w:val="00DB2583"/>
    <w:rsid w:val="00DB5347"/>
    <w:rsid w:val="00DB5B01"/>
    <w:rsid w:val="00DB7D96"/>
    <w:rsid w:val="00DC1483"/>
    <w:rsid w:val="00DC2BE2"/>
    <w:rsid w:val="00DC2CE2"/>
    <w:rsid w:val="00DC3108"/>
    <w:rsid w:val="00DC3C02"/>
    <w:rsid w:val="00DC3EAE"/>
    <w:rsid w:val="00DC488E"/>
    <w:rsid w:val="00DC555F"/>
    <w:rsid w:val="00DC5AC8"/>
    <w:rsid w:val="00DC6992"/>
    <w:rsid w:val="00DD410B"/>
    <w:rsid w:val="00DD4364"/>
    <w:rsid w:val="00DD5F56"/>
    <w:rsid w:val="00DD6473"/>
    <w:rsid w:val="00DD67B4"/>
    <w:rsid w:val="00DD6D55"/>
    <w:rsid w:val="00DD7577"/>
    <w:rsid w:val="00DD7F30"/>
    <w:rsid w:val="00DE047A"/>
    <w:rsid w:val="00DE1E7A"/>
    <w:rsid w:val="00DE479A"/>
    <w:rsid w:val="00DE4FBC"/>
    <w:rsid w:val="00DE5032"/>
    <w:rsid w:val="00DE5343"/>
    <w:rsid w:val="00DE5824"/>
    <w:rsid w:val="00DE5E9C"/>
    <w:rsid w:val="00DE691B"/>
    <w:rsid w:val="00DE7734"/>
    <w:rsid w:val="00DF083A"/>
    <w:rsid w:val="00DF368D"/>
    <w:rsid w:val="00DF3D9D"/>
    <w:rsid w:val="00DF43AA"/>
    <w:rsid w:val="00DF6192"/>
    <w:rsid w:val="00DF6215"/>
    <w:rsid w:val="00DF6842"/>
    <w:rsid w:val="00DF6AA9"/>
    <w:rsid w:val="00DF6DF3"/>
    <w:rsid w:val="00E00DC9"/>
    <w:rsid w:val="00E01279"/>
    <w:rsid w:val="00E0201E"/>
    <w:rsid w:val="00E02A37"/>
    <w:rsid w:val="00E03296"/>
    <w:rsid w:val="00E03B99"/>
    <w:rsid w:val="00E04088"/>
    <w:rsid w:val="00E040CE"/>
    <w:rsid w:val="00E04C5F"/>
    <w:rsid w:val="00E0539D"/>
    <w:rsid w:val="00E05808"/>
    <w:rsid w:val="00E0594E"/>
    <w:rsid w:val="00E05BAB"/>
    <w:rsid w:val="00E06398"/>
    <w:rsid w:val="00E06FE6"/>
    <w:rsid w:val="00E07C90"/>
    <w:rsid w:val="00E07DD6"/>
    <w:rsid w:val="00E10796"/>
    <w:rsid w:val="00E11070"/>
    <w:rsid w:val="00E110B2"/>
    <w:rsid w:val="00E11AE2"/>
    <w:rsid w:val="00E120CE"/>
    <w:rsid w:val="00E122D9"/>
    <w:rsid w:val="00E128BB"/>
    <w:rsid w:val="00E129C8"/>
    <w:rsid w:val="00E12E2F"/>
    <w:rsid w:val="00E132F5"/>
    <w:rsid w:val="00E13F18"/>
    <w:rsid w:val="00E146CC"/>
    <w:rsid w:val="00E1576F"/>
    <w:rsid w:val="00E158F6"/>
    <w:rsid w:val="00E15AC1"/>
    <w:rsid w:val="00E15BDB"/>
    <w:rsid w:val="00E1780F"/>
    <w:rsid w:val="00E20B43"/>
    <w:rsid w:val="00E226A4"/>
    <w:rsid w:val="00E234D4"/>
    <w:rsid w:val="00E23598"/>
    <w:rsid w:val="00E24860"/>
    <w:rsid w:val="00E27A1A"/>
    <w:rsid w:val="00E27CB1"/>
    <w:rsid w:val="00E30494"/>
    <w:rsid w:val="00E31E3D"/>
    <w:rsid w:val="00E32904"/>
    <w:rsid w:val="00E330FD"/>
    <w:rsid w:val="00E3328B"/>
    <w:rsid w:val="00E335B2"/>
    <w:rsid w:val="00E3393A"/>
    <w:rsid w:val="00E36F9A"/>
    <w:rsid w:val="00E3754B"/>
    <w:rsid w:val="00E407DF"/>
    <w:rsid w:val="00E41B40"/>
    <w:rsid w:val="00E42311"/>
    <w:rsid w:val="00E42A6E"/>
    <w:rsid w:val="00E42D72"/>
    <w:rsid w:val="00E441E7"/>
    <w:rsid w:val="00E45EDF"/>
    <w:rsid w:val="00E4743E"/>
    <w:rsid w:val="00E47484"/>
    <w:rsid w:val="00E50296"/>
    <w:rsid w:val="00E50525"/>
    <w:rsid w:val="00E5268C"/>
    <w:rsid w:val="00E53012"/>
    <w:rsid w:val="00E5351D"/>
    <w:rsid w:val="00E53C01"/>
    <w:rsid w:val="00E53E7D"/>
    <w:rsid w:val="00E54B26"/>
    <w:rsid w:val="00E54CE9"/>
    <w:rsid w:val="00E54EF0"/>
    <w:rsid w:val="00E55A22"/>
    <w:rsid w:val="00E57690"/>
    <w:rsid w:val="00E60BBB"/>
    <w:rsid w:val="00E61982"/>
    <w:rsid w:val="00E61989"/>
    <w:rsid w:val="00E61AEE"/>
    <w:rsid w:val="00E61E91"/>
    <w:rsid w:val="00E621A9"/>
    <w:rsid w:val="00E622AF"/>
    <w:rsid w:val="00E62416"/>
    <w:rsid w:val="00E625F3"/>
    <w:rsid w:val="00E627B3"/>
    <w:rsid w:val="00E65260"/>
    <w:rsid w:val="00E66AD7"/>
    <w:rsid w:val="00E67220"/>
    <w:rsid w:val="00E67750"/>
    <w:rsid w:val="00E67C20"/>
    <w:rsid w:val="00E67C8C"/>
    <w:rsid w:val="00E70109"/>
    <w:rsid w:val="00E704FE"/>
    <w:rsid w:val="00E70637"/>
    <w:rsid w:val="00E70858"/>
    <w:rsid w:val="00E71CFB"/>
    <w:rsid w:val="00E72287"/>
    <w:rsid w:val="00E75458"/>
    <w:rsid w:val="00E77519"/>
    <w:rsid w:val="00E77924"/>
    <w:rsid w:val="00E77ABE"/>
    <w:rsid w:val="00E813C2"/>
    <w:rsid w:val="00E81426"/>
    <w:rsid w:val="00E81CC1"/>
    <w:rsid w:val="00E832D1"/>
    <w:rsid w:val="00E85EBB"/>
    <w:rsid w:val="00E86104"/>
    <w:rsid w:val="00E86140"/>
    <w:rsid w:val="00E869CA"/>
    <w:rsid w:val="00E878C0"/>
    <w:rsid w:val="00E90D1E"/>
    <w:rsid w:val="00E90DA5"/>
    <w:rsid w:val="00E925EA"/>
    <w:rsid w:val="00E92B3A"/>
    <w:rsid w:val="00E93D55"/>
    <w:rsid w:val="00E94D29"/>
    <w:rsid w:val="00E96451"/>
    <w:rsid w:val="00E965C1"/>
    <w:rsid w:val="00EA07D0"/>
    <w:rsid w:val="00EA0919"/>
    <w:rsid w:val="00EA1FBF"/>
    <w:rsid w:val="00EA31C8"/>
    <w:rsid w:val="00EA3DEB"/>
    <w:rsid w:val="00EA4790"/>
    <w:rsid w:val="00EA5650"/>
    <w:rsid w:val="00EA63FB"/>
    <w:rsid w:val="00EA6CF0"/>
    <w:rsid w:val="00EA7C28"/>
    <w:rsid w:val="00EB0A85"/>
    <w:rsid w:val="00EB1C91"/>
    <w:rsid w:val="00EB2664"/>
    <w:rsid w:val="00EB2C27"/>
    <w:rsid w:val="00EB5147"/>
    <w:rsid w:val="00EB5BC2"/>
    <w:rsid w:val="00EB6696"/>
    <w:rsid w:val="00EB6E1E"/>
    <w:rsid w:val="00EB756C"/>
    <w:rsid w:val="00EB7978"/>
    <w:rsid w:val="00EC089D"/>
    <w:rsid w:val="00EC0F8F"/>
    <w:rsid w:val="00EC39E5"/>
    <w:rsid w:val="00EC3BC2"/>
    <w:rsid w:val="00EC46A7"/>
    <w:rsid w:val="00EC54B6"/>
    <w:rsid w:val="00EC551A"/>
    <w:rsid w:val="00EC64DE"/>
    <w:rsid w:val="00EC6569"/>
    <w:rsid w:val="00EC7358"/>
    <w:rsid w:val="00ED12DF"/>
    <w:rsid w:val="00ED1AE0"/>
    <w:rsid w:val="00ED2319"/>
    <w:rsid w:val="00ED26B8"/>
    <w:rsid w:val="00ED2A21"/>
    <w:rsid w:val="00ED4521"/>
    <w:rsid w:val="00ED4547"/>
    <w:rsid w:val="00ED59F1"/>
    <w:rsid w:val="00ED5E50"/>
    <w:rsid w:val="00ED692A"/>
    <w:rsid w:val="00ED734B"/>
    <w:rsid w:val="00ED76F8"/>
    <w:rsid w:val="00ED7A74"/>
    <w:rsid w:val="00EE0432"/>
    <w:rsid w:val="00EE2336"/>
    <w:rsid w:val="00EE2417"/>
    <w:rsid w:val="00EE254D"/>
    <w:rsid w:val="00EE297E"/>
    <w:rsid w:val="00EE3CA0"/>
    <w:rsid w:val="00EE49D6"/>
    <w:rsid w:val="00EE5A89"/>
    <w:rsid w:val="00EE5BC8"/>
    <w:rsid w:val="00EE5CFF"/>
    <w:rsid w:val="00EE6EAF"/>
    <w:rsid w:val="00EE7F18"/>
    <w:rsid w:val="00EF0124"/>
    <w:rsid w:val="00EF0D63"/>
    <w:rsid w:val="00EF102C"/>
    <w:rsid w:val="00EF11AA"/>
    <w:rsid w:val="00EF1B4A"/>
    <w:rsid w:val="00EF28A0"/>
    <w:rsid w:val="00EF2BE8"/>
    <w:rsid w:val="00EF36BC"/>
    <w:rsid w:val="00EF3722"/>
    <w:rsid w:val="00EF3C1F"/>
    <w:rsid w:val="00EF5458"/>
    <w:rsid w:val="00EF6254"/>
    <w:rsid w:val="00EF63C7"/>
    <w:rsid w:val="00EF7665"/>
    <w:rsid w:val="00EF7C08"/>
    <w:rsid w:val="00EF7F56"/>
    <w:rsid w:val="00F00445"/>
    <w:rsid w:val="00F01C01"/>
    <w:rsid w:val="00F023A3"/>
    <w:rsid w:val="00F02687"/>
    <w:rsid w:val="00F028AC"/>
    <w:rsid w:val="00F03E04"/>
    <w:rsid w:val="00F040CA"/>
    <w:rsid w:val="00F04312"/>
    <w:rsid w:val="00F04CCF"/>
    <w:rsid w:val="00F057D1"/>
    <w:rsid w:val="00F05ECB"/>
    <w:rsid w:val="00F0652A"/>
    <w:rsid w:val="00F07B82"/>
    <w:rsid w:val="00F101F1"/>
    <w:rsid w:val="00F10730"/>
    <w:rsid w:val="00F10F32"/>
    <w:rsid w:val="00F11B9B"/>
    <w:rsid w:val="00F11FBB"/>
    <w:rsid w:val="00F1275F"/>
    <w:rsid w:val="00F13426"/>
    <w:rsid w:val="00F15F75"/>
    <w:rsid w:val="00F16CD8"/>
    <w:rsid w:val="00F16EAA"/>
    <w:rsid w:val="00F1758B"/>
    <w:rsid w:val="00F179E8"/>
    <w:rsid w:val="00F17A48"/>
    <w:rsid w:val="00F17E96"/>
    <w:rsid w:val="00F20FBC"/>
    <w:rsid w:val="00F231BF"/>
    <w:rsid w:val="00F23317"/>
    <w:rsid w:val="00F2333F"/>
    <w:rsid w:val="00F2389A"/>
    <w:rsid w:val="00F23CEA"/>
    <w:rsid w:val="00F24435"/>
    <w:rsid w:val="00F260B3"/>
    <w:rsid w:val="00F2695F"/>
    <w:rsid w:val="00F26AB6"/>
    <w:rsid w:val="00F30835"/>
    <w:rsid w:val="00F308E5"/>
    <w:rsid w:val="00F3175A"/>
    <w:rsid w:val="00F31965"/>
    <w:rsid w:val="00F31B21"/>
    <w:rsid w:val="00F32025"/>
    <w:rsid w:val="00F351E7"/>
    <w:rsid w:val="00F35202"/>
    <w:rsid w:val="00F37359"/>
    <w:rsid w:val="00F37CB9"/>
    <w:rsid w:val="00F40F74"/>
    <w:rsid w:val="00F41C75"/>
    <w:rsid w:val="00F4292B"/>
    <w:rsid w:val="00F444A7"/>
    <w:rsid w:val="00F44CA7"/>
    <w:rsid w:val="00F46FBE"/>
    <w:rsid w:val="00F47175"/>
    <w:rsid w:val="00F478FC"/>
    <w:rsid w:val="00F50935"/>
    <w:rsid w:val="00F530EB"/>
    <w:rsid w:val="00F55207"/>
    <w:rsid w:val="00F553F7"/>
    <w:rsid w:val="00F55570"/>
    <w:rsid w:val="00F555FA"/>
    <w:rsid w:val="00F55833"/>
    <w:rsid w:val="00F559BA"/>
    <w:rsid w:val="00F55EE8"/>
    <w:rsid w:val="00F60B19"/>
    <w:rsid w:val="00F61878"/>
    <w:rsid w:val="00F61985"/>
    <w:rsid w:val="00F63144"/>
    <w:rsid w:val="00F6322F"/>
    <w:rsid w:val="00F65DAB"/>
    <w:rsid w:val="00F65EC6"/>
    <w:rsid w:val="00F662BF"/>
    <w:rsid w:val="00F67078"/>
    <w:rsid w:val="00F67A70"/>
    <w:rsid w:val="00F7038E"/>
    <w:rsid w:val="00F709CD"/>
    <w:rsid w:val="00F70CAE"/>
    <w:rsid w:val="00F71A0C"/>
    <w:rsid w:val="00F721D3"/>
    <w:rsid w:val="00F72AA6"/>
    <w:rsid w:val="00F73607"/>
    <w:rsid w:val="00F74910"/>
    <w:rsid w:val="00F7493C"/>
    <w:rsid w:val="00F7594C"/>
    <w:rsid w:val="00F75A6E"/>
    <w:rsid w:val="00F75D56"/>
    <w:rsid w:val="00F7727F"/>
    <w:rsid w:val="00F810B7"/>
    <w:rsid w:val="00F81DE6"/>
    <w:rsid w:val="00F82254"/>
    <w:rsid w:val="00F84564"/>
    <w:rsid w:val="00F8690E"/>
    <w:rsid w:val="00F86D5C"/>
    <w:rsid w:val="00F91199"/>
    <w:rsid w:val="00F91818"/>
    <w:rsid w:val="00F918B8"/>
    <w:rsid w:val="00F94E96"/>
    <w:rsid w:val="00F95144"/>
    <w:rsid w:val="00F955F7"/>
    <w:rsid w:val="00F95B57"/>
    <w:rsid w:val="00F960C4"/>
    <w:rsid w:val="00F973E0"/>
    <w:rsid w:val="00FA02BC"/>
    <w:rsid w:val="00FA0C0E"/>
    <w:rsid w:val="00FA3F29"/>
    <w:rsid w:val="00FA42D3"/>
    <w:rsid w:val="00FA462D"/>
    <w:rsid w:val="00FA5C98"/>
    <w:rsid w:val="00FA5D46"/>
    <w:rsid w:val="00FB0000"/>
    <w:rsid w:val="00FB01DE"/>
    <w:rsid w:val="00FB03D6"/>
    <w:rsid w:val="00FB07BB"/>
    <w:rsid w:val="00FB13EB"/>
    <w:rsid w:val="00FB209C"/>
    <w:rsid w:val="00FB216E"/>
    <w:rsid w:val="00FB2CD0"/>
    <w:rsid w:val="00FB3307"/>
    <w:rsid w:val="00FB353C"/>
    <w:rsid w:val="00FB4ADD"/>
    <w:rsid w:val="00FB5133"/>
    <w:rsid w:val="00FB523B"/>
    <w:rsid w:val="00FB5436"/>
    <w:rsid w:val="00FB6A4B"/>
    <w:rsid w:val="00FB6C4C"/>
    <w:rsid w:val="00FC063D"/>
    <w:rsid w:val="00FC082D"/>
    <w:rsid w:val="00FC0AD9"/>
    <w:rsid w:val="00FC1AD1"/>
    <w:rsid w:val="00FC2255"/>
    <w:rsid w:val="00FC3856"/>
    <w:rsid w:val="00FC3952"/>
    <w:rsid w:val="00FC604C"/>
    <w:rsid w:val="00FC658B"/>
    <w:rsid w:val="00FC73DC"/>
    <w:rsid w:val="00FC7ACC"/>
    <w:rsid w:val="00FD0792"/>
    <w:rsid w:val="00FD088C"/>
    <w:rsid w:val="00FD1B83"/>
    <w:rsid w:val="00FD273B"/>
    <w:rsid w:val="00FD4A24"/>
    <w:rsid w:val="00FD5026"/>
    <w:rsid w:val="00FD5E1F"/>
    <w:rsid w:val="00FD6370"/>
    <w:rsid w:val="00FD68A5"/>
    <w:rsid w:val="00FD7FEB"/>
    <w:rsid w:val="00FE0E95"/>
    <w:rsid w:val="00FE1EDA"/>
    <w:rsid w:val="00FE2FE4"/>
    <w:rsid w:val="00FE39E4"/>
    <w:rsid w:val="00FE4A90"/>
    <w:rsid w:val="00FE4D6E"/>
    <w:rsid w:val="00FE5644"/>
    <w:rsid w:val="00FE6512"/>
    <w:rsid w:val="00FE6F66"/>
    <w:rsid w:val="00FF0125"/>
    <w:rsid w:val="00FF0189"/>
    <w:rsid w:val="00FF01CE"/>
    <w:rsid w:val="00FF0BEB"/>
    <w:rsid w:val="00FF1165"/>
    <w:rsid w:val="00FF2730"/>
    <w:rsid w:val="00FF295C"/>
    <w:rsid w:val="00FF37DE"/>
    <w:rsid w:val="00FF3D11"/>
    <w:rsid w:val="00FF6957"/>
    <w:rsid w:val="016C0549"/>
    <w:rsid w:val="01AF5332"/>
    <w:rsid w:val="01BE7323"/>
    <w:rsid w:val="02331ABF"/>
    <w:rsid w:val="02A351CA"/>
    <w:rsid w:val="03166ED6"/>
    <w:rsid w:val="03E91C34"/>
    <w:rsid w:val="044A30F0"/>
    <w:rsid w:val="04A03531"/>
    <w:rsid w:val="05F6352F"/>
    <w:rsid w:val="079D0625"/>
    <w:rsid w:val="07C23803"/>
    <w:rsid w:val="0A342878"/>
    <w:rsid w:val="0ADA341F"/>
    <w:rsid w:val="0B30303F"/>
    <w:rsid w:val="0BE67CE5"/>
    <w:rsid w:val="0BEB73A5"/>
    <w:rsid w:val="0C2F2D81"/>
    <w:rsid w:val="0CD65E68"/>
    <w:rsid w:val="0DDB432E"/>
    <w:rsid w:val="0EEC54CF"/>
    <w:rsid w:val="109D5E59"/>
    <w:rsid w:val="10BE52E4"/>
    <w:rsid w:val="11C72224"/>
    <w:rsid w:val="12DB3254"/>
    <w:rsid w:val="12FE3A23"/>
    <w:rsid w:val="13C614B9"/>
    <w:rsid w:val="145A2EDB"/>
    <w:rsid w:val="148937C0"/>
    <w:rsid w:val="164E6A70"/>
    <w:rsid w:val="16BE6A0C"/>
    <w:rsid w:val="174A7237"/>
    <w:rsid w:val="190D14A5"/>
    <w:rsid w:val="1A5E6DC1"/>
    <w:rsid w:val="1B080A85"/>
    <w:rsid w:val="1B8F2C34"/>
    <w:rsid w:val="1C850D11"/>
    <w:rsid w:val="1CFD3B8D"/>
    <w:rsid w:val="1D373F6B"/>
    <w:rsid w:val="1EA97287"/>
    <w:rsid w:val="1EF966BB"/>
    <w:rsid w:val="1F7C464D"/>
    <w:rsid w:val="1F955B65"/>
    <w:rsid w:val="207038A1"/>
    <w:rsid w:val="207F3629"/>
    <w:rsid w:val="20A83CF5"/>
    <w:rsid w:val="20DB35F6"/>
    <w:rsid w:val="21441968"/>
    <w:rsid w:val="21D97B35"/>
    <w:rsid w:val="21E01F75"/>
    <w:rsid w:val="22AA14D2"/>
    <w:rsid w:val="23AE1255"/>
    <w:rsid w:val="241855FA"/>
    <w:rsid w:val="245C67FB"/>
    <w:rsid w:val="25131031"/>
    <w:rsid w:val="25977255"/>
    <w:rsid w:val="25D61BE9"/>
    <w:rsid w:val="2685028B"/>
    <w:rsid w:val="268A06D1"/>
    <w:rsid w:val="271B449B"/>
    <w:rsid w:val="27C46B92"/>
    <w:rsid w:val="29B67D79"/>
    <w:rsid w:val="2A233845"/>
    <w:rsid w:val="2A570A3D"/>
    <w:rsid w:val="2D4367AA"/>
    <w:rsid w:val="2DBA26E1"/>
    <w:rsid w:val="2DFA0C10"/>
    <w:rsid w:val="2EB057CA"/>
    <w:rsid w:val="2EDC61C3"/>
    <w:rsid w:val="2F7848DE"/>
    <w:rsid w:val="2FC218B9"/>
    <w:rsid w:val="2FC510D8"/>
    <w:rsid w:val="316A7C7E"/>
    <w:rsid w:val="31927D00"/>
    <w:rsid w:val="31DE4CF4"/>
    <w:rsid w:val="31E5172B"/>
    <w:rsid w:val="31FB3AF8"/>
    <w:rsid w:val="31FD161E"/>
    <w:rsid w:val="320E1ED6"/>
    <w:rsid w:val="33896E9F"/>
    <w:rsid w:val="340B635C"/>
    <w:rsid w:val="34B65860"/>
    <w:rsid w:val="34D507EF"/>
    <w:rsid w:val="35270760"/>
    <w:rsid w:val="372E1F9F"/>
    <w:rsid w:val="37F56BA7"/>
    <w:rsid w:val="388746A7"/>
    <w:rsid w:val="393B1E66"/>
    <w:rsid w:val="3B2157C8"/>
    <w:rsid w:val="3BEC42D2"/>
    <w:rsid w:val="3C617669"/>
    <w:rsid w:val="3CAB70DA"/>
    <w:rsid w:val="3D711112"/>
    <w:rsid w:val="3D9A2417"/>
    <w:rsid w:val="3DDE654E"/>
    <w:rsid w:val="3E240DF4"/>
    <w:rsid w:val="3E855C22"/>
    <w:rsid w:val="3EA706D4"/>
    <w:rsid w:val="3FE275DE"/>
    <w:rsid w:val="401F3B1F"/>
    <w:rsid w:val="40CE12B0"/>
    <w:rsid w:val="415A2C36"/>
    <w:rsid w:val="418436CB"/>
    <w:rsid w:val="41B14F08"/>
    <w:rsid w:val="42EB7271"/>
    <w:rsid w:val="43C7531C"/>
    <w:rsid w:val="44267C4D"/>
    <w:rsid w:val="450C2F4F"/>
    <w:rsid w:val="459A204A"/>
    <w:rsid w:val="46CF17EE"/>
    <w:rsid w:val="472F593B"/>
    <w:rsid w:val="475467FE"/>
    <w:rsid w:val="47552708"/>
    <w:rsid w:val="47A520E4"/>
    <w:rsid w:val="48D87B7F"/>
    <w:rsid w:val="492D26A2"/>
    <w:rsid w:val="49574017"/>
    <w:rsid w:val="49881E5A"/>
    <w:rsid w:val="498E4F11"/>
    <w:rsid w:val="4B99165D"/>
    <w:rsid w:val="4BE15979"/>
    <w:rsid w:val="4C304467"/>
    <w:rsid w:val="4EF30074"/>
    <w:rsid w:val="4F133DD7"/>
    <w:rsid w:val="4FFBDDA4"/>
    <w:rsid w:val="4FFF45AF"/>
    <w:rsid w:val="504A2F4E"/>
    <w:rsid w:val="507303E9"/>
    <w:rsid w:val="50E0520A"/>
    <w:rsid w:val="51F52E5F"/>
    <w:rsid w:val="525B1332"/>
    <w:rsid w:val="535E26FB"/>
    <w:rsid w:val="5365280C"/>
    <w:rsid w:val="53874076"/>
    <w:rsid w:val="53B11E10"/>
    <w:rsid w:val="54D2259C"/>
    <w:rsid w:val="54EB3100"/>
    <w:rsid w:val="55434145"/>
    <w:rsid w:val="559B4B26"/>
    <w:rsid w:val="55C6781D"/>
    <w:rsid w:val="55E426EC"/>
    <w:rsid w:val="563A433F"/>
    <w:rsid w:val="57544F8D"/>
    <w:rsid w:val="57D30F6C"/>
    <w:rsid w:val="58144B0D"/>
    <w:rsid w:val="58332729"/>
    <w:rsid w:val="58CB5B36"/>
    <w:rsid w:val="58F22CAF"/>
    <w:rsid w:val="59162E41"/>
    <w:rsid w:val="59965D30"/>
    <w:rsid w:val="59F56EBC"/>
    <w:rsid w:val="5A2B35F6"/>
    <w:rsid w:val="5A364E1D"/>
    <w:rsid w:val="5A7C5118"/>
    <w:rsid w:val="5BBB809F"/>
    <w:rsid w:val="5BFB00CD"/>
    <w:rsid w:val="5C8836BC"/>
    <w:rsid w:val="5D2EA7F8"/>
    <w:rsid w:val="5D4C6846"/>
    <w:rsid w:val="5DFE4BDB"/>
    <w:rsid w:val="5E451FF7"/>
    <w:rsid w:val="5EBE3279"/>
    <w:rsid w:val="5F6F26A7"/>
    <w:rsid w:val="5FFFCC1B"/>
    <w:rsid w:val="60A9291C"/>
    <w:rsid w:val="60E43825"/>
    <w:rsid w:val="62E95123"/>
    <w:rsid w:val="63716EC6"/>
    <w:rsid w:val="63854CB3"/>
    <w:rsid w:val="66227B38"/>
    <w:rsid w:val="69552FF8"/>
    <w:rsid w:val="69780FAF"/>
    <w:rsid w:val="69801C11"/>
    <w:rsid w:val="6A694D9B"/>
    <w:rsid w:val="6A916D0B"/>
    <w:rsid w:val="6AFC176B"/>
    <w:rsid w:val="6AFE54E3"/>
    <w:rsid w:val="6B6D2669"/>
    <w:rsid w:val="6BCA79E6"/>
    <w:rsid w:val="6C3507EB"/>
    <w:rsid w:val="6D6734B4"/>
    <w:rsid w:val="6DD73BDE"/>
    <w:rsid w:val="6E5673E4"/>
    <w:rsid w:val="6F871F4B"/>
    <w:rsid w:val="6FC06D93"/>
    <w:rsid w:val="709D0B7D"/>
    <w:rsid w:val="71904266"/>
    <w:rsid w:val="72A26EE4"/>
    <w:rsid w:val="73B07597"/>
    <w:rsid w:val="73D143F5"/>
    <w:rsid w:val="751C0AEB"/>
    <w:rsid w:val="75DC7106"/>
    <w:rsid w:val="75E83018"/>
    <w:rsid w:val="76B14F5D"/>
    <w:rsid w:val="76C70E7F"/>
    <w:rsid w:val="77EFFDBE"/>
    <w:rsid w:val="780E0911"/>
    <w:rsid w:val="782642CC"/>
    <w:rsid w:val="78464596"/>
    <w:rsid w:val="785C5E6F"/>
    <w:rsid w:val="787B05D9"/>
    <w:rsid w:val="78B72E5C"/>
    <w:rsid w:val="78D14C99"/>
    <w:rsid w:val="78F517A9"/>
    <w:rsid w:val="78F9125E"/>
    <w:rsid w:val="790846F5"/>
    <w:rsid w:val="796B01E8"/>
    <w:rsid w:val="79BD1E6F"/>
    <w:rsid w:val="79E3245A"/>
    <w:rsid w:val="7A36761F"/>
    <w:rsid w:val="7A8FBFB2"/>
    <w:rsid w:val="7A9279F6"/>
    <w:rsid w:val="7AC701CD"/>
    <w:rsid w:val="7C6D4277"/>
    <w:rsid w:val="7D325828"/>
    <w:rsid w:val="7D372D92"/>
    <w:rsid w:val="7D574AEC"/>
    <w:rsid w:val="7DF953F7"/>
    <w:rsid w:val="7E0545A9"/>
    <w:rsid w:val="7EE00881"/>
    <w:rsid w:val="7F56C114"/>
    <w:rsid w:val="7FDD60AB"/>
    <w:rsid w:val="CFFB5B0F"/>
    <w:rsid w:val="DFB6296F"/>
    <w:rsid w:val="DFEB2607"/>
    <w:rsid w:val="EBE59833"/>
    <w:rsid w:val="F0CDF8B7"/>
    <w:rsid w:val="F57E04ED"/>
    <w:rsid w:val="F5DF4672"/>
    <w:rsid w:val="FD78FFD7"/>
    <w:rsid w:val="FDD70848"/>
    <w:rsid w:val="FFED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spacing w:line="360" w:lineRule="auto"/>
      <w:outlineLvl w:val="0"/>
    </w:pPr>
    <w:rPr>
      <w:b/>
      <w:bCs/>
      <w:kern w:val="44"/>
      <w:sz w:val="32"/>
      <w:szCs w:val="44"/>
    </w:rPr>
  </w:style>
  <w:style w:type="paragraph" w:styleId="5">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7"/>
    <w:qFormat/>
    <w:uiPriority w:val="0"/>
    <w:pPr>
      <w:keepNext/>
      <w:keepLines/>
      <w:spacing w:line="360" w:lineRule="auto"/>
      <w:outlineLvl w:val="2"/>
    </w:pPr>
    <w:rPr>
      <w:b/>
      <w:bCs/>
      <w:sz w:val="24"/>
      <w:szCs w:val="32"/>
    </w:rPr>
  </w:style>
  <w:style w:type="paragraph" w:styleId="7">
    <w:name w:val="heading 4"/>
    <w:basedOn w:val="1"/>
    <w:next w:val="1"/>
    <w:link w:val="58"/>
    <w:qFormat/>
    <w:uiPriority w:val="0"/>
    <w:pPr>
      <w:keepNext/>
      <w:keepLines/>
      <w:spacing w:line="360" w:lineRule="auto"/>
      <w:outlineLvl w:val="3"/>
    </w:pPr>
    <w:rPr>
      <w:rFonts w:ascii="Arial" w:hAnsi="Arial"/>
      <w:b/>
      <w:bCs/>
      <w:szCs w:val="28"/>
    </w:rPr>
  </w:style>
  <w:style w:type="paragraph" w:styleId="8">
    <w:name w:val="heading 5"/>
    <w:basedOn w:val="1"/>
    <w:next w:val="1"/>
    <w:link w:val="59"/>
    <w:qFormat/>
    <w:uiPriority w:val="0"/>
    <w:pPr>
      <w:keepNext/>
      <w:keepLines/>
      <w:spacing w:before="280" w:after="290" w:line="376" w:lineRule="auto"/>
      <w:outlineLvl w:val="4"/>
    </w:pPr>
    <w:rPr>
      <w:b/>
      <w:bCs/>
      <w:sz w:val="28"/>
      <w:szCs w:val="28"/>
    </w:rPr>
  </w:style>
  <w:style w:type="paragraph" w:styleId="9">
    <w:name w:val="heading 6"/>
    <w:basedOn w:val="1"/>
    <w:next w:val="1"/>
    <w:link w:val="60"/>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6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6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6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9360"/>
      </w:tabs>
      <w:adjustRightInd/>
      <w:ind w:firstLine="420" w:firstLineChars="100"/>
    </w:pPr>
    <w:rPr>
      <w:sz w:val="21"/>
    </w:rPr>
  </w:style>
  <w:style w:type="paragraph" w:styleId="3">
    <w:name w:val="Body Text"/>
    <w:basedOn w:val="1"/>
    <w:next w:val="2"/>
    <w:link w:val="73"/>
    <w:qFormat/>
    <w:uiPriority w:val="0"/>
    <w:pPr>
      <w:framePr w:hSpace="180" w:wrap="around" w:vAnchor="page" w:hAnchor="margin" w:y="3702"/>
      <w:spacing w:before="120" w:beforeLines="50" w:after="120" w:afterLines="50"/>
    </w:pPr>
    <w:rPr>
      <w:rFonts w:ascii="宋体"/>
      <w:szCs w:val="21"/>
    </w:rPr>
  </w:style>
  <w:style w:type="paragraph" w:styleId="13">
    <w:name w:val="toc 7"/>
    <w:basedOn w:val="1"/>
    <w:next w:val="1"/>
    <w:qFormat/>
    <w:uiPriority w:val="39"/>
    <w:pPr>
      <w:ind w:left="2520" w:leftChars="1200"/>
    </w:pPr>
  </w:style>
  <w:style w:type="paragraph" w:styleId="14">
    <w:name w:val="Normal Indent"/>
    <w:basedOn w:val="1"/>
    <w:link w:val="75"/>
    <w:qFormat/>
    <w:uiPriority w:val="0"/>
    <w:pPr>
      <w:widowControl/>
      <w:ind w:firstLine="420"/>
      <w:jc w:val="left"/>
    </w:pPr>
    <w:rPr>
      <w:kern w:val="0"/>
      <w:sz w:val="24"/>
      <w:szCs w:val="20"/>
    </w:rPr>
  </w:style>
  <w:style w:type="paragraph" w:styleId="15">
    <w:name w:val="caption"/>
    <w:basedOn w:val="1"/>
    <w:next w:val="1"/>
    <w:unhideWhenUsed/>
    <w:qFormat/>
    <w:uiPriority w:val="0"/>
    <w:rPr>
      <w:rFonts w:ascii="Calibri Light" w:hAnsi="Calibri Light" w:eastAsia="黑体"/>
      <w:sz w:val="20"/>
      <w:szCs w:val="20"/>
    </w:rPr>
  </w:style>
  <w:style w:type="paragraph" w:styleId="16">
    <w:name w:val="Document Map"/>
    <w:basedOn w:val="1"/>
    <w:link w:val="169"/>
    <w:semiHidden/>
    <w:qFormat/>
    <w:uiPriority w:val="0"/>
    <w:pPr>
      <w:shd w:val="clear" w:color="auto" w:fill="000080"/>
    </w:pPr>
  </w:style>
  <w:style w:type="paragraph" w:styleId="17">
    <w:name w:val="annotation text"/>
    <w:basedOn w:val="1"/>
    <w:link w:val="93"/>
    <w:qFormat/>
    <w:uiPriority w:val="0"/>
    <w:pPr>
      <w:jc w:val="left"/>
    </w:pPr>
  </w:style>
  <w:style w:type="paragraph" w:styleId="18">
    <w:name w:val="Body Text 3"/>
    <w:basedOn w:val="1"/>
    <w:link w:val="92"/>
    <w:qFormat/>
    <w:uiPriority w:val="0"/>
    <w:pPr>
      <w:spacing w:after="120"/>
    </w:pPr>
    <w:rPr>
      <w:sz w:val="16"/>
      <w:szCs w:val="16"/>
    </w:rPr>
  </w:style>
  <w:style w:type="paragraph" w:styleId="19">
    <w:name w:val="Body Text Indent"/>
    <w:basedOn w:val="1"/>
    <w:link w:val="69"/>
    <w:qFormat/>
    <w:uiPriority w:val="0"/>
    <w:pPr>
      <w:spacing w:before="120" w:beforeLines="50"/>
      <w:ind w:firstLine="420" w:firstLineChars="200"/>
    </w:pPr>
    <w:rPr>
      <w:rFonts w:ascii="宋体"/>
      <w:szCs w:val="21"/>
    </w:rPr>
  </w:style>
  <w:style w:type="paragraph" w:styleId="20">
    <w:name w:val="Block Text"/>
    <w:basedOn w:val="1"/>
    <w:qFormat/>
    <w:uiPriority w:val="0"/>
    <w:pPr>
      <w:spacing w:line="240" w:lineRule="exact"/>
      <w:ind w:left="475" w:leftChars="240" w:right="578" w:rightChars="292" w:firstLine="473"/>
    </w:pPr>
    <w:rPr>
      <w:rFonts w:ascii="宋体"/>
      <w:szCs w:val="21"/>
    </w:rPr>
  </w:style>
  <w:style w:type="paragraph" w:styleId="21">
    <w:name w:val="toc 5"/>
    <w:basedOn w:val="1"/>
    <w:next w:val="1"/>
    <w:qFormat/>
    <w:uiPriority w:val="39"/>
    <w:pPr>
      <w:ind w:left="1680" w:leftChars="800"/>
    </w:pPr>
  </w:style>
  <w:style w:type="paragraph" w:styleId="22">
    <w:name w:val="toc 3"/>
    <w:basedOn w:val="1"/>
    <w:next w:val="1"/>
    <w:qFormat/>
    <w:uiPriority w:val="39"/>
    <w:pPr>
      <w:tabs>
        <w:tab w:val="right" w:leader="dot" w:pos="9174"/>
      </w:tabs>
      <w:ind w:left="840" w:leftChars="400"/>
    </w:pPr>
  </w:style>
  <w:style w:type="paragraph" w:styleId="23">
    <w:name w:val="Plain Text"/>
    <w:basedOn w:val="1"/>
    <w:link w:val="76"/>
    <w:qFormat/>
    <w:uiPriority w:val="0"/>
    <w:pPr>
      <w:widowControl/>
      <w:jc w:val="left"/>
    </w:pPr>
    <w:rPr>
      <w:rFonts w:ascii="宋体" w:hAnsi="Courier New" w:cs="Courier New"/>
      <w:kern w:val="0"/>
      <w:sz w:val="24"/>
      <w:szCs w:val="21"/>
    </w:rPr>
  </w:style>
  <w:style w:type="paragraph" w:styleId="24">
    <w:name w:val="toc 8"/>
    <w:basedOn w:val="1"/>
    <w:next w:val="1"/>
    <w:qFormat/>
    <w:uiPriority w:val="39"/>
    <w:pPr>
      <w:ind w:left="2940" w:leftChars="1400"/>
    </w:pPr>
  </w:style>
  <w:style w:type="paragraph" w:styleId="25">
    <w:name w:val="Date"/>
    <w:basedOn w:val="1"/>
    <w:next w:val="1"/>
    <w:link w:val="67"/>
    <w:qFormat/>
    <w:uiPriority w:val="0"/>
    <w:rPr>
      <w:rFonts w:ascii="宋体" w:hAnsi="宋体"/>
      <w:szCs w:val="20"/>
    </w:rPr>
  </w:style>
  <w:style w:type="paragraph" w:styleId="26">
    <w:name w:val="Body Text Indent 2"/>
    <w:basedOn w:val="1"/>
    <w:link w:val="71"/>
    <w:qFormat/>
    <w:uiPriority w:val="0"/>
    <w:pPr>
      <w:ind w:left="1558" w:leftChars="742" w:firstLine="330" w:firstLineChars="157"/>
    </w:pPr>
    <w:rPr>
      <w:rFonts w:ascii="宋体" w:hAnsi="宋体"/>
      <w:szCs w:val="21"/>
    </w:rPr>
  </w:style>
  <w:style w:type="paragraph" w:styleId="27">
    <w:name w:val="endnote text"/>
    <w:basedOn w:val="1"/>
    <w:link w:val="187"/>
    <w:semiHidden/>
    <w:unhideWhenUsed/>
    <w:qFormat/>
    <w:uiPriority w:val="0"/>
    <w:pPr>
      <w:snapToGrid w:val="0"/>
      <w:jc w:val="left"/>
    </w:pPr>
  </w:style>
  <w:style w:type="paragraph" w:styleId="28">
    <w:name w:val="Balloon Text"/>
    <w:basedOn w:val="1"/>
    <w:link w:val="70"/>
    <w:semiHidden/>
    <w:qFormat/>
    <w:uiPriority w:val="0"/>
    <w:rPr>
      <w:sz w:val="18"/>
      <w:szCs w:val="18"/>
    </w:rPr>
  </w:style>
  <w:style w:type="paragraph" w:styleId="29">
    <w:name w:val="footer"/>
    <w:basedOn w:val="1"/>
    <w:link w:val="66"/>
    <w:qFormat/>
    <w:uiPriority w:val="99"/>
    <w:pPr>
      <w:tabs>
        <w:tab w:val="center" w:pos="4153"/>
        <w:tab w:val="right" w:pos="8306"/>
      </w:tabs>
      <w:snapToGrid w:val="0"/>
      <w:jc w:val="left"/>
    </w:pPr>
    <w:rPr>
      <w:sz w:val="18"/>
      <w:szCs w:val="18"/>
    </w:rPr>
  </w:style>
  <w:style w:type="paragraph" w:styleId="30">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174"/>
      </w:tabs>
      <w:jc w:val="center"/>
    </w:pPr>
  </w:style>
  <w:style w:type="paragraph" w:styleId="32">
    <w:name w:val="toc 4"/>
    <w:basedOn w:val="1"/>
    <w:next w:val="1"/>
    <w:qFormat/>
    <w:uiPriority w:val="39"/>
    <w:pPr>
      <w:ind w:left="1260" w:leftChars="600"/>
    </w:pPr>
  </w:style>
  <w:style w:type="paragraph" w:styleId="33">
    <w:name w:val="footnote text"/>
    <w:basedOn w:val="1"/>
    <w:link w:val="95"/>
    <w:semiHidden/>
    <w:qFormat/>
    <w:uiPriority w:val="0"/>
    <w:pPr>
      <w:snapToGrid w:val="0"/>
      <w:jc w:val="left"/>
    </w:pPr>
    <w:rPr>
      <w:sz w:val="18"/>
      <w:szCs w:val="18"/>
    </w:rPr>
  </w:style>
  <w:style w:type="paragraph" w:styleId="34">
    <w:name w:val="toc 6"/>
    <w:basedOn w:val="1"/>
    <w:next w:val="1"/>
    <w:qFormat/>
    <w:uiPriority w:val="39"/>
    <w:pPr>
      <w:ind w:left="2100" w:leftChars="1000"/>
    </w:pPr>
  </w:style>
  <w:style w:type="paragraph" w:styleId="35">
    <w:name w:val="Body Text Indent 3"/>
    <w:basedOn w:val="1"/>
    <w:link w:val="72"/>
    <w:qFormat/>
    <w:uiPriority w:val="0"/>
    <w:pPr>
      <w:ind w:left="1556" w:leftChars="739" w:hanging="4" w:hangingChars="2"/>
    </w:pPr>
    <w:rPr>
      <w:rFonts w:ascii="宋体"/>
      <w:szCs w:val="21"/>
    </w:rPr>
  </w:style>
  <w:style w:type="paragraph" w:styleId="36">
    <w:name w:val="toc 2"/>
    <w:basedOn w:val="1"/>
    <w:next w:val="1"/>
    <w:qFormat/>
    <w:uiPriority w:val="39"/>
    <w:pPr>
      <w:tabs>
        <w:tab w:val="right" w:leader="dot" w:pos="9174"/>
      </w:tabs>
      <w:ind w:left="420" w:leftChars="200"/>
    </w:pPr>
  </w:style>
  <w:style w:type="paragraph" w:styleId="37">
    <w:name w:val="toc 9"/>
    <w:basedOn w:val="1"/>
    <w:next w:val="1"/>
    <w:qFormat/>
    <w:uiPriority w:val="39"/>
    <w:pPr>
      <w:ind w:left="3360" w:leftChars="1600"/>
    </w:pPr>
  </w:style>
  <w:style w:type="paragraph" w:styleId="38">
    <w:name w:val="Body Text 2"/>
    <w:basedOn w:val="1"/>
    <w:link w:val="74"/>
    <w:qFormat/>
    <w:uiPriority w:val="0"/>
    <w:pPr>
      <w:spacing w:before="120" w:beforeLines="50"/>
      <w:jc w:val="center"/>
    </w:pPr>
    <w:rPr>
      <w:rFonts w:ascii="宋体"/>
      <w:szCs w:val="21"/>
    </w:rPr>
  </w:style>
  <w:style w:type="paragraph" w:styleId="3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cs="宋体"/>
      <w:color w:val="000000"/>
      <w:kern w:val="0"/>
      <w:sz w:val="24"/>
      <w:szCs w:val="21"/>
    </w:rPr>
  </w:style>
  <w:style w:type="paragraph" w:styleId="41">
    <w:name w:val="index 1"/>
    <w:basedOn w:val="1"/>
    <w:next w:val="1"/>
    <w:semiHidden/>
    <w:qFormat/>
    <w:uiPriority w:val="0"/>
    <w:pPr>
      <w:spacing w:line="220" w:lineRule="exact"/>
      <w:jc w:val="center"/>
    </w:pPr>
    <w:rPr>
      <w:rFonts w:ascii="仿宋_GB2312" w:eastAsia="仿宋_GB2312"/>
      <w:szCs w:val="21"/>
    </w:rPr>
  </w:style>
  <w:style w:type="paragraph" w:styleId="42">
    <w:name w:val="Title"/>
    <w:basedOn w:val="1"/>
    <w:link w:val="10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94"/>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basedOn w:val="46"/>
    <w:semiHidden/>
    <w:unhideWhenUsed/>
    <w:qFormat/>
    <w:uiPriority w:val="0"/>
    <w:rPr>
      <w:vertAlign w:val="superscript"/>
    </w:rPr>
  </w:style>
  <w:style w:type="character" w:styleId="49">
    <w:name w:val="page number"/>
    <w:basedOn w:val="46"/>
    <w:qFormat/>
    <w:uiPriority w:val="0"/>
  </w:style>
  <w:style w:type="character" w:styleId="50">
    <w:name w:val="FollowedHyperlink"/>
    <w:qFormat/>
    <w:uiPriority w:val="0"/>
    <w:rPr>
      <w:color w:val="800080"/>
      <w:u w:val="single"/>
    </w:rPr>
  </w:style>
  <w:style w:type="character" w:styleId="51">
    <w:name w:val="HTML Typewriter"/>
    <w:qFormat/>
    <w:uiPriority w:val="0"/>
    <w:rPr>
      <w:rFonts w:ascii="黑体" w:hAnsi="Courier New" w:eastAsia="黑体" w:cs="Courier New"/>
      <w:sz w:val="20"/>
      <w:szCs w:val="20"/>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semiHidden/>
    <w:qFormat/>
    <w:uiPriority w:val="0"/>
    <w:rPr>
      <w:vertAlign w:val="superscript"/>
    </w:rPr>
  </w:style>
  <w:style w:type="character" w:customStyle="1" w:styleId="55">
    <w:name w:val="标题 1 字符"/>
    <w:link w:val="4"/>
    <w:qFormat/>
    <w:uiPriority w:val="0"/>
    <w:rPr>
      <w:b/>
      <w:bCs/>
      <w:kern w:val="44"/>
      <w:sz w:val="32"/>
      <w:szCs w:val="44"/>
    </w:rPr>
  </w:style>
  <w:style w:type="character" w:customStyle="1" w:styleId="56">
    <w:name w:val="标题 2 字符1"/>
    <w:link w:val="5"/>
    <w:qFormat/>
    <w:uiPriority w:val="0"/>
    <w:rPr>
      <w:rFonts w:ascii="Arial" w:hAnsi="Arial" w:eastAsia="黑体"/>
      <w:b/>
      <w:bCs/>
      <w:kern w:val="2"/>
      <w:sz w:val="32"/>
      <w:szCs w:val="32"/>
    </w:rPr>
  </w:style>
  <w:style w:type="character" w:customStyle="1" w:styleId="57">
    <w:name w:val="标题 3 字符"/>
    <w:link w:val="6"/>
    <w:qFormat/>
    <w:uiPriority w:val="0"/>
    <w:rPr>
      <w:b/>
      <w:bCs/>
      <w:kern w:val="2"/>
      <w:sz w:val="24"/>
      <w:szCs w:val="32"/>
    </w:rPr>
  </w:style>
  <w:style w:type="character" w:customStyle="1" w:styleId="58">
    <w:name w:val="标题 4 字符"/>
    <w:link w:val="7"/>
    <w:qFormat/>
    <w:uiPriority w:val="0"/>
    <w:rPr>
      <w:rFonts w:ascii="Arial" w:hAnsi="Arial"/>
      <w:b/>
      <w:bCs/>
      <w:kern w:val="2"/>
      <w:sz w:val="21"/>
      <w:szCs w:val="28"/>
    </w:rPr>
  </w:style>
  <w:style w:type="character" w:customStyle="1" w:styleId="59">
    <w:name w:val="标题 5 字符1"/>
    <w:link w:val="8"/>
    <w:semiHidden/>
    <w:qFormat/>
    <w:uiPriority w:val="0"/>
    <w:rPr>
      <w:b/>
      <w:bCs/>
      <w:kern w:val="2"/>
      <w:sz w:val="28"/>
      <w:szCs w:val="28"/>
    </w:rPr>
  </w:style>
  <w:style w:type="character" w:customStyle="1" w:styleId="60">
    <w:name w:val="标题 6 字符1"/>
    <w:link w:val="9"/>
    <w:qFormat/>
    <w:uiPriority w:val="0"/>
    <w:rPr>
      <w:rFonts w:ascii="Arial" w:hAnsi="Arial" w:eastAsia="黑体"/>
      <w:b/>
      <w:bCs/>
      <w:kern w:val="2"/>
      <w:sz w:val="24"/>
      <w:szCs w:val="24"/>
    </w:rPr>
  </w:style>
  <w:style w:type="character" w:customStyle="1" w:styleId="61">
    <w:name w:val="标题 7 字符"/>
    <w:link w:val="10"/>
    <w:qFormat/>
    <w:uiPriority w:val="0"/>
    <w:rPr>
      <w:b/>
      <w:bCs/>
      <w:sz w:val="24"/>
      <w:szCs w:val="24"/>
    </w:rPr>
  </w:style>
  <w:style w:type="character" w:customStyle="1" w:styleId="62">
    <w:name w:val="标题 8 字符"/>
    <w:link w:val="11"/>
    <w:qFormat/>
    <w:uiPriority w:val="0"/>
    <w:rPr>
      <w:rFonts w:ascii="Arial" w:hAnsi="Arial" w:eastAsia="黑体"/>
      <w:sz w:val="24"/>
      <w:szCs w:val="24"/>
    </w:rPr>
  </w:style>
  <w:style w:type="character" w:customStyle="1" w:styleId="63">
    <w:name w:val="标题 9 字符"/>
    <w:link w:val="12"/>
    <w:qFormat/>
    <w:uiPriority w:val="0"/>
    <w:rPr>
      <w:rFonts w:ascii="Arial" w:hAnsi="Arial" w:eastAsia="黑体"/>
      <w:sz w:val="21"/>
      <w:szCs w:val="21"/>
    </w:rPr>
  </w:style>
  <w:style w:type="paragraph" w:customStyle="1" w:styleId="64">
    <w:name w:val="样式1"/>
    <w:basedOn w:val="1"/>
    <w:next w:val="7"/>
    <w:qFormat/>
    <w:uiPriority w:val="0"/>
    <w:pPr>
      <w:spacing w:line="360" w:lineRule="auto"/>
      <w:ind w:firstLine="420" w:firstLineChars="200"/>
    </w:pPr>
    <w:rPr>
      <w:rFonts w:ascii="宋体" w:hAnsi="宋体"/>
      <w:szCs w:val="21"/>
    </w:rPr>
  </w:style>
  <w:style w:type="character" w:customStyle="1" w:styleId="65">
    <w:name w:val="页眉 字符1"/>
    <w:link w:val="30"/>
    <w:qFormat/>
    <w:uiPriority w:val="0"/>
    <w:rPr>
      <w:kern w:val="2"/>
      <w:sz w:val="18"/>
      <w:szCs w:val="18"/>
    </w:rPr>
  </w:style>
  <w:style w:type="character" w:customStyle="1" w:styleId="66">
    <w:name w:val="页脚 字符1"/>
    <w:link w:val="29"/>
    <w:qFormat/>
    <w:uiPriority w:val="99"/>
    <w:rPr>
      <w:kern w:val="2"/>
      <w:sz w:val="18"/>
      <w:szCs w:val="18"/>
    </w:rPr>
  </w:style>
  <w:style w:type="character" w:customStyle="1" w:styleId="67">
    <w:name w:val="日期 字符"/>
    <w:link w:val="25"/>
    <w:qFormat/>
    <w:uiPriority w:val="0"/>
    <w:rPr>
      <w:rFonts w:ascii="宋体" w:hAnsi="宋体"/>
      <w:kern w:val="2"/>
      <w:sz w:val="21"/>
    </w:rPr>
  </w:style>
  <w:style w:type="paragraph" w:customStyle="1" w:styleId="68">
    <w:name w:val="Char Char"/>
    <w:basedOn w:val="1"/>
    <w:qFormat/>
    <w:uiPriority w:val="0"/>
    <w:rPr>
      <w:rFonts w:ascii="Tahoma" w:hAnsi="Tahoma"/>
      <w:sz w:val="24"/>
      <w:szCs w:val="20"/>
    </w:rPr>
  </w:style>
  <w:style w:type="character" w:customStyle="1" w:styleId="69">
    <w:name w:val="正文文本缩进 字符"/>
    <w:link w:val="19"/>
    <w:qFormat/>
    <w:uiPriority w:val="0"/>
    <w:rPr>
      <w:rFonts w:ascii="宋体"/>
      <w:kern w:val="2"/>
      <w:sz w:val="21"/>
      <w:szCs w:val="21"/>
    </w:rPr>
  </w:style>
  <w:style w:type="character" w:customStyle="1" w:styleId="70">
    <w:name w:val="批注框文本 字符"/>
    <w:link w:val="28"/>
    <w:semiHidden/>
    <w:qFormat/>
    <w:uiPriority w:val="0"/>
    <w:rPr>
      <w:kern w:val="2"/>
      <w:sz w:val="18"/>
      <w:szCs w:val="18"/>
    </w:rPr>
  </w:style>
  <w:style w:type="character" w:customStyle="1" w:styleId="71">
    <w:name w:val="正文文本缩进 2 字符"/>
    <w:link w:val="26"/>
    <w:qFormat/>
    <w:uiPriority w:val="0"/>
    <w:rPr>
      <w:rFonts w:ascii="宋体" w:hAnsi="宋体"/>
      <w:kern w:val="2"/>
      <w:sz w:val="21"/>
      <w:szCs w:val="21"/>
    </w:rPr>
  </w:style>
  <w:style w:type="character" w:customStyle="1" w:styleId="72">
    <w:name w:val="正文文本缩进 3 字符"/>
    <w:link w:val="35"/>
    <w:qFormat/>
    <w:uiPriority w:val="0"/>
    <w:rPr>
      <w:rFonts w:ascii="宋体"/>
      <w:kern w:val="2"/>
      <w:sz w:val="21"/>
      <w:szCs w:val="21"/>
    </w:rPr>
  </w:style>
  <w:style w:type="character" w:customStyle="1" w:styleId="73">
    <w:name w:val="正文文本 字符"/>
    <w:link w:val="3"/>
    <w:qFormat/>
    <w:uiPriority w:val="0"/>
    <w:rPr>
      <w:rFonts w:ascii="宋体"/>
      <w:kern w:val="2"/>
      <w:sz w:val="21"/>
      <w:szCs w:val="21"/>
    </w:rPr>
  </w:style>
  <w:style w:type="character" w:customStyle="1" w:styleId="74">
    <w:name w:val="正文文本 2 字符"/>
    <w:link w:val="38"/>
    <w:qFormat/>
    <w:uiPriority w:val="0"/>
    <w:rPr>
      <w:rFonts w:ascii="宋体"/>
      <w:kern w:val="2"/>
      <w:sz w:val="21"/>
      <w:szCs w:val="21"/>
    </w:rPr>
  </w:style>
  <w:style w:type="character" w:customStyle="1" w:styleId="75">
    <w:name w:val="正文缩进 字符"/>
    <w:link w:val="14"/>
    <w:qFormat/>
    <w:uiPriority w:val="0"/>
    <w:rPr>
      <w:sz w:val="24"/>
    </w:rPr>
  </w:style>
  <w:style w:type="character" w:customStyle="1" w:styleId="76">
    <w:name w:val="纯文本 字符1"/>
    <w:link w:val="23"/>
    <w:qFormat/>
    <w:uiPriority w:val="0"/>
    <w:rPr>
      <w:rFonts w:ascii="宋体" w:hAnsi="Courier New" w:cs="Courier New"/>
      <w:sz w:val="24"/>
      <w:szCs w:val="21"/>
    </w:rPr>
  </w:style>
  <w:style w:type="paragraph" w:customStyle="1" w:styleId="77">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78">
    <w:name w:val="表格3"/>
    <w:basedOn w:val="1"/>
    <w:qFormat/>
    <w:uiPriority w:val="0"/>
    <w:pPr>
      <w:adjustRightInd w:val="0"/>
      <w:spacing w:line="420" w:lineRule="atLeast"/>
      <w:textAlignment w:val="baseline"/>
    </w:pPr>
    <w:rPr>
      <w:rFonts w:eastAsia="楷体"/>
      <w:kern w:val="0"/>
      <w:szCs w:val="20"/>
    </w:rPr>
  </w:style>
  <w:style w:type="paragraph" w:customStyle="1" w:styleId="79">
    <w:name w:val="Körper"/>
    <w:basedOn w:val="1"/>
    <w:qFormat/>
    <w:uiPriority w:val="0"/>
    <w:pPr>
      <w:widowControl/>
      <w:spacing w:before="120" w:line="240" w:lineRule="exact"/>
    </w:pPr>
    <w:rPr>
      <w:rFonts w:ascii="Arial" w:hAnsi="Arial"/>
      <w:kern w:val="0"/>
      <w:sz w:val="20"/>
      <w:szCs w:val="20"/>
      <w:lang w:val="de-DE" w:eastAsia="de-DE"/>
    </w:rPr>
  </w:style>
  <w:style w:type="character" w:customStyle="1" w:styleId="80">
    <w:name w:val="zbggmain style9"/>
    <w:basedOn w:val="46"/>
    <w:qFormat/>
    <w:uiPriority w:val="0"/>
  </w:style>
  <w:style w:type="paragraph" w:customStyle="1" w:styleId="81">
    <w:name w:val="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3">
    <w:name w:val="标准书眉_偶数页"/>
    <w:basedOn w:val="82"/>
    <w:next w:val="1"/>
    <w:qFormat/>
    <w:uiPriority w:val="0"/>
    <w:pPr>
      <w:jc w:val="left"/>
    </w:pPr>
  </w:style>
  <w:style w:type="paragraph" w:customStyle="1" w:styleId="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xl25"/>
    <w:basedOn w:val="1"/>
    <w:qFormat/>
    <w:uiPriority w:val="0"/>
    <w:pPr>
      <w:widowControl/>
      <w:spacing w:before="100" w:beforeAutospacing="1" w:after="100" w:afterAutospacing="1"/>
      <w:jc w:val="center"/>
      <w:textAlignment w:val="center"/>
    </w:pPr>
    <w:rPr>
      <w:rFonts w:hint="eastAsia" w:ascii="新宋体" w:hAnsi="新宋体" w:eastAsia="新宋体" w:cs="Arial Unicode MS"/>
      <w:b/>
      <w:bCs/>
      <w:kern w:val="0"/>
      <w:sz w:val="36"/>
      <w:szCs w:val="36"/>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szCs w:val="20"/>
    </w:rPr>
  </w:style>
  <w:style w:type="paragraph" w:customStyle="1" w:styleId="87">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88">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89">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character" w:customStyle="1" w:styleId="90">
    <w:name w:val="texttitle1"/>
    <w:qFormat/>
    <w:uiPriority w:val="0"/>
    <w:rPr>
      <w:rFonts w:hint="default"/>
      <w:b/>
      <w:bCs/>
      <w:color w:val="0000FF"/>
      <w:sz w:val="21"/>
      <w:szCs w:val="21"/>
    </w:rPr>
  </w:style>
  <w:style w:type="character" w:customStyle="1" w:styleId="91">
    <w:name w:val="normaltext1"/>
    <w:qFormat/>
    <w:uiPriority w:val="0"/>
    <w:rPr>
      <w:rFonts w:hint="default"/>
      <w:color w:val="000000"/>
      <w:sz w:val="18"/>
      <w:szCs w:val="18"/>
      <w:u w:val="none"/>
    </w:rPr>
  </w:style>
  <w:style w:type="character" w:customStyle="1" w:styleId="92">
    <w:name w:val="正文文本 3 字符"/>
    <w:link w:val="18"/>
    <w:qFormat/>
    <w:uiPriority w:val="0"/>
    <w:rPr>
      <w:kern w:val="2"/>
      <w:sz w:val="16"/>
      <w:szCs w:val="16"/>
    </w:rPr>
  </w:style>
  <w:style w:type="character" w:customStyle="1" w:styleId="93">
    <w:name w:val="批注文字 字符"/>
    <w:link w:val="17"/>
    <w:qFormat/>
    <w:uiPriority w:val="0"/>
    <w:rPr>
      <w:kern w:val="2"/>
      <w:sz w:val="21"/>
      <w:szCs w:val="24"/>
    </w:rPr>
  </w:style>
  <w:style w:type="character" w:customStyle="1" w:styleId="94">
    <w:name w:val="批注主题 字符"/>
    <w:link w:val="43"/>
    <w:semiHidden/>
    <w:qFormat/>
    <w:uiPriority w:val="0"/>
    <w:rPr>
      <w:b/>
      <w:bCs/>
      <w:kern w:val="2"/>
      <w:sz w:val="21"/>
      <w:szCs w:val="24"/>
    </w:rPr>
  </w:style>
  <w:style w:type="character" w:customStyle="1" w:styleId="95">
    <w:name w:val="脚注文本 字符"/>
    <w:link w:val="33"/>
    <w:semiHidden/>
    <w:qFormat/>
    <w:uiPriority w:val="0"/>
    <w:rPr>
      <w:kern w:val="2"/>
      <w:sz w:val="18"/>
      <w:szCs w:val="18"/>
    </w:rPr>
  </w:style>
  <w:style w:type="paragraph" w:customStyle="1" w:styleId="96">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customStyle="1" w:styleId="9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8">
    <w:name w:val="表格文字"/>
    <w:basedOn w:val="1"/>
    <w:qFormat/>
    <w:uiPriority w:val="0"/>
    <w:pPr>
      <w:adjustRightInd w:val="0"/>
      <w:spacing w:line="420" w:lineRule="atLeast"/>
      <w:jc w:val="left"/>
      <w:textAlignment w:val="baseline"/>
    </w:pPr>
    <w:rPr>
      <w:kern w:val="0"/>
      <w:szCs w:val="20"/>
    </w:rPr>
  </w:style>
  <w:style w:type="paragraph" w:customStyle="1" w:styleId="9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character" w:customStyle="1" w:styleId="100">
    <w:name w:val="标题 字符"/>
    <w:link w:val="42"/>
    <w:qFormat/>
    <w:uiPriority w:val="0"/>
    <w:rPr>
      <w:rFonts w:ascii="Arial" w:hAnsi="Arial"/>
      <w:b/>
      <w:sz w:val="32"/>
    </w:rPr>
  </w:style>
  <w:style w:type="paragraph" w:customStyle="1" w:styleId="101">
    <w:name w:val="1"/>
    <w:basedOn w:val="1"/>
    <w:qFormat/>
    <w:uiPriority w:val="0"/>
  </w:style>
  <w:style w:type="character" w:customStyle="1" w:styleId="102">
    <w:name w:val="font161"/>
    <w:qFormat/>
    <w:uiPriority w:val="0"/>
    <w:rPr>
      <w:b/>
      <w:bCs/>
      <w:sz w:val="32"/>
      <w:szCs w:val="32"/>
    </w:rPr>
  </w:style>
  <w:style w:type="paragraph" w:customStyle="1" w:styleId="10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4">
    <w:name w:val="表格"/>
    <w:basedOn w:val="1"/>
    <w:qFormat/>
    <w:uiPriority w:val="0"/>
    <w:pPr>
      <w:jc w:val="center"/>
      <w:textAlignment w:val="center"/>
    </w:pPr>
    <w:rPr>
      <w:rFonts w:ascii="华文细黑" w:hAnsi="华文细黑"/>
      <w:kern w:val="0"/>
      <w:szCs w:val="20"/>
    </w:rPr>
  </w:style>
  <w:style w:type="paragraph" w:customStyle="1" w:styleId="105">
    <w:name w:val="Char Char1"/>
    <w:basedOn w:val="1"/>
    <w:qFormat/>
    <w:uiPriority w:val="0"/>
    <w:rPr>
      <w:rFonts w:ascii="Tahoma" w:hAnsi="Tahoma"/>
      <w:sz w:val="24"/>
      <w:szCs w:val="20"/>
    </w:rPr>
  </w:style>
  <w:style w:type="paragraph" w:customStyle="1" w:styleId="106">
    <w:name w:val="标题3"/>
    <w:basedOn w:val="1"/>
    <w:qFormat/>
    <w:uiPriority w:val="0"/>
    <w:pPr>
      <w:spacing w:line="440" w:lineRule="exact"/>
      <w:ind w:left="359" w:leftChars="171" w:firstLine="435"/>
    </w:pPr>
    <w:rPr>
      <w:szCs w:val="21"/>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9">
    <w:name w:val="wanggh段落-楷体"/>
    <w:basedOn w:val="1"/>
    <w:qFormat/>
    <w:uiPriority w:val="0"/>
    <w:pPr>
      <w:spacing w:line="360" w:lineRule="auto"/>
      <w:ind w:firstLine="200" w:firstLineChars="200"/>
    </w:pPr>
    <w:rPr>
      <w:rFonts w:ascii="Calibri" w:hAnsi="Calibri" w:eastAsia="楷体_GB2312"/>
      <w:sz w:val="24"/>
      <w:u w:color="8DB3E2"/>
    </w:rPr>
  </w:style>
  <w:style w:type="paragraph" w:customStyle="1" w:styleId="110">
    <w:name w:val="Char Char7"/>
    <w:basedOn w:val="1"/>
    <w:qFormat/>
    <w:uiPriority w:val="0"/>
    <w:rPr>
      <w:rFonts w:ascii="Tahoma" w:hAnsi="Tahoma"/>
      <w:sz w:val="24"/>
      <w:szCs w:val="20"/>
    </w:rPr>
  </w:style>
  <w:style w:type="paragraph" w:customStyle="1" w:styleId="111">
    <w:name w:val="Char Char6"/>
    <w:basedOn w:val="1"/>
    <w:qFormat/>
    <w:uiPriority w:val="0"/>
    <w:rPr>
      <w:rFonts w:ascii="Tahoma" w:hAnsi="Tahoma"/>
      <w:sz w:val="24"/>
      <w:szCs w:val="20"/>
    </w:rPr>
  </w:style>
  <w:style w:type="paragraph" w:styleId="112">
    <w:name w:val="List Paragraph"/>
    <w:basedOn w:val="1"/>
    <w:qFormat/>
    <w:uiPriority w:val="34"/>
    <w:pPr>
      <w:ind w:firstLine="420" w:firstLineChars="200"/>
    </w:pPr>
  </w:style>
  <w:style w:type="paragraph" w:customStyle="1" w:styleId="113">
    <w:name w:val="Char Char5"/>
    <w:basedOn w:val="1"/>
    <w:qFormat/>
    <w:uiPriority w:val="0"/>
    <w:rPr>
      <w:rFonts w:ascii="Tahoma" w:hAnsi="Tahoma"/>
      <w:sz w:val="24"/>
      <w:szCs w:val="20"/>
    </w:rPr>
  </w:style>
  <w:style w:type="paragraph" w:customStyle="1" w:styleId="114">
    <w:name w:val="Char Char4"/>
    <w:basedOn w:val="1"/>
    <w:qFormat/>
    <w:uiPriority w:val="0"/>
    <w:rPr>
      <w:rFonts w:ascii="Tahoma" w:hAnsi="Tahoma"/>
      <w:sz w:val="24"/>
      <w:szCs w:val="20"/>
    </w:rPr>
  </w:style>
  <w:style w:type="paragraph" w:customStyle="1" w:styleId="115">
    <w:name w:val="Char Char3"/>
    <w:basedOn w:val="1"/>
    <w:qFormat/>
    <w:uiPriority w:val="0"/>
    <w:rPr>
      <w:rFonts w:ascii="Tahoma" w:hAnsi="Tahoma"/>
      <w:sz w:val="24"/>
      <w:szCs w:val="20"/>
    </w:rPr>
  </w:style>
  <w:style w:type="paragraph" w:customStyle="1" w:styleId="116">
    <w:name w:val="Char Char2"/>
    <w:basedOn w:val="1"/>
    <w:qFormat/>
    <w:uiPriority w:val="0"/>
    <w:rPr>
      <w:rFonts w:ascii="Tahoma" w:hAnsi="Tahoma"/>
      <w:sz w:val="24"/>
      <w:szCs w:val="20"/>
    </w:rPr>
  </w:style>
  <w:style w:type="paragraph" w:customStyle="1" w:styleId="1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118">
    <w:name w:val="纯文本 Char1"/>
    <w:qFormat/>
    <w:uiPriority w:val="0"/>
    <w:rPr>
      <w:rFonts w:ascii="宋体" w:hAnsi="Courier New" w:eastAsia="宋体" w:cs="Courier New"/>
      <w:kern w:val="2"/>
      <w:sz w:val="21"/>
      <w:szCs w:val="21"/>
      <w:lang w:val="en-US" w:eastAsia="zh-CN" w:bidi="ar-SA"/>
    </w:rPr>
  </w:style>
  <w:style w:type="paragraph" w:customStyle="1" w:styleId="119">
    <w:name w:val="表格标题 Char Char Char Char"/>
    <w:basedOn w:val="1"/>
    <w:qFormat/>
    <w:uiPriority w:val="0"/>
    <w:pPr>
      <w:autoSpaceDE w:val="0"/>
      <w:autoSpaceDN w:val="0"/>
      <w:adjustRightInd w:val="0"/>
      <w:jc w:val="center"/>
      <w:textAlignment w:val="baseline"/>
    </w:pPr>
    <w:rPr>
      <w:rFonts w:ascii="Calibri" w:hAnsi="宋体"/>
      <w:sz w:val="24"/>
      <w:szCs w:val="21"/>
    </w:rPr>
  </w:style>
  <w:style w:type="paragraph" w:customStyle="1" w:styleId="120">
    <w:name w:val="TOC 标题1"/>
    <w:basedOn w:val="4"/>
    <w:next w:val="1"/>
    <w:qFormat/>
    <w:uiPriority w:val="39"/>
    <w:pPr>
      <w:widowControl/>
      <w:spacing w:before="240" w:line="259" w:lineRule="auto"/>
      <w:jc w:val="left"/>
      <w:outlineLvl w:val="9"/>
    </w:pPr>
    <w:rPr>
      <w:rFonts w:ascii="Calibri Light" w:hAnsi="Calibri Light"/>
      <w:b w:val="0"/>
      <w:bCs w:val="0"/>
      <w:color w:val="2E74B5"/>
      <w:kern w:val="0"/>
      <w:szCs w:val="32"/>
    </w:rPr>
  </w:style>
  <w:style w:type="paragraph" w:customStyle="1" w:styleId="121">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0"/>
    <w:qFormat/>
    <w:uiPriority w:val="0"/>
    <w:rPr>
      <w:rFonts w:ascii="黑体" w:hAnsi="黑体" w:eastAsia="黑体" w:cs="Times New Roman"/>
      <w:b/>
      <w:sz w:val="32"/>
      <w:szCs w:val="24"/>
      <w:lang w:val="en-US" w:eastAsia="zh-CN" w:bidi="ar-SA"/>
    </w:rPr>
  </w:style>
  <w:style w:type="paragraph" w:customStyle="1" w:styleId="125">
    <w:name w:val="Normal_1"/>
    <w:qFormat/>
    <w:uiPriority w:val="0"/>
    <w:rPr>
      <w:rFonts w:ascii="黑体" w:hAnsi="黑体" w:eastAsia="黑体" w:cs="Times New Roman"/>
      <w:b/>
      <w:sz w:val="32"/>
      <w:szCs w:val="24"/>
      <w:lang w:val="en-US" w:eastAsia="zh-CN" w:bidi="ar-SA"/>
    </w:rPr>
  </w:style>
  <w:style w:type="paragraph" w:customStyle="1" w:styleId="126">
    <w:name w:val="Normal_2"/>
    <w:qFormat/>
    <w:uiPriority w:val="0"/>
    <w:rPr>
      <w:rFonts w:ascii="黑体" w:hAnsi="黑体" w:eastAsia="黑体" w:cs="Times New Roman"/>
      <w:b/>
      <w:sz w:val="32"/>
      <w:szCs w:val="24"/>
      <w:lang w:val="en-US" w:eastAsia="zh-CN" w:bidi="ar-SA"/>
    </w:rPr>
  </w:style>
  <w:style w:type="paragraph" w:customStyle="1" w:styleId="127">
    <w:name w:val="Normal_3"/>
    <w:qFormat/>
    <w:uiPriority w:val="0"/>
    <w:rPr>
      <w:rFonts w:ascii="黑体" w:hAnsi="黑体" w:eastAsia="黑体" w:cs="Times New Roman"/>
      <w:b/>
      <w:sz w:val="32"/>
      <w:szCs w:val="24"/>
      <w:lang w:val="en-US" w:eastAsia="zh-CN" w:bidi="ar-SA"/>
    </w:rPr>
  </w:style>
  <w:style w:type="paragraph" w:customStyle="1" w:styleId="1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Normal_4"/>
    <w:qFormat/>
    <w:uiPriority w:val="0"/>
    <w:rPr>
      <w:rFonts w:ascii="黑体" w:hAnsi="黑体" w:eastAsia="黑体" w:cs="Times New Roman"/>
      <w:b/>
      <w:sz w:val="32"/>
      <w:szCs w:val="24"/>
      <w:lang w:val="en-US" w:eastAsia="zh-CN" w:bidi="ar-SA"/>
    </w:rPr>
  </w:style>
  <w:style w:type="paragraph" w:customStyle="1" w:styleId="13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5"/>
    <w:qFormat/>
    <w:uiPriority w:val="0"/>
    <w:rPr>
      <w:rFonts w:ascii="黑体" w:hAnsi="黑体" w:eastAsia="黑体" w:cs="Times New Roman"/>
      <w:b/>
      <w:sz w:val="32"/>
      <w:szCs w:val="24"/>
      <w:lang w:val="en-US" w:eastAsia="zh-CN" w:bidi="ar-SA"/>
    </w:rPr>
  </w:style>
  <w:style w:type="paragraph" w:customStyle="1" w:styleId="13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Normal_6"/>
    <w:qFormat/>
    <w:uiPriority w:val="0"/>
    <w:rPr>
      <w:rFonts w:ascii="黑体" w:hAnsi="黑体" w:eastAsia="黑体" w:cs="Times New Roman"/>
      <w:b/>
      <w:sz w:val="32"/>
      <w:szCs w:val="24"/>
      <w:lang w:val="en-US" w:eastAsia="zh-CN" w:bidi="ar-SA"/>
    </w:rPr>
  </w:style>
  <w:style w:type="paragraph" w:customStyle="1" w:styleId="1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7"/>
    <w:qFormat/>
    <w:uiPriority w:val="0"/>
    <w:rPr>
      <w:rFonts w:ascii="黑体" w:hAnsi="黑体" w:eastAsia="黑体" w:cs="Times New Roman"/>
      <w:b/>
      <w:sz w:val="32"/>
      <w:szCs w:val="24"/>
      <w:lang w:val="en-US" w:eastAsia="zh-CN" w:bidi="ar-SA"/>
    </w:rPr>
  </w:style>
  <w:style w:type="paragraph" w:customStyle="1" w:styleId="136">
    <w:name w:val="Normal_8"/>
    <w:qFormat/>
    <w:uiPriority w:val="0"/>
    <w:rPr>
      <w:rFonts w:ascii="Times New Roman" w:hAnsi="Times New Roman" w:eastAsia="Times New Roman" w:cs="Times New Roman"/>
      <w:sz w:val="24"/>
      <w:szCs w:val="24"/>
      <w:lang w:val="en-US" w:eastAsia="zh-CN" w:bidi="ar-SA"/>
    </w:rPr>
  </w:style>
  <w:style w:type="paragraph" w:customStyle="1" w:styleId="13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Normal_9"/>
    <w:qFormat/>
    <w:uiPriority w:val="0"/>
    <w:rPr>
      <w:rFonts w:ascii="Times New Roman" w:hAnsi="Times New Roman" w:eastAsia="Times New Roman" w:cs="Times New Roman"/>
      <w:sz w:val="24"/>
      <w:szCs w:val="24"/>
      <w:lang w:val="en-US" w:eastAsia="zh-CN" w:bidi="ar-SA"/>
    </w:rPr>
  </w:style>
  <w:style w:type="paragraph" w:customStyle="1" w:styleId="1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10"/>
    <w:qFormat/>
    <w:uiPriority w:val="0"/>
    <w:rPr>
      <w:rFonts w:ascii="Times New Roman" w:hAnsi="Times New Roman" w:eastAsia="Times New Roman" w:cs="Times New Roman"/>
      <w:sz w:val="24"/>
      <w:szCs w:val="24"/>
      <w:lang w:val="en-US" w:eastAsia="zh-CN" w:bidi="ar-SA"/>
    </w:rPr>
  </w:style>
  <w:style w:type="paragraph" w:customStyle="1" w:styleId="14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Normal_11"/>
    <w:qFormat/>
    <w:uiPriority w:val="0"/>
    <w:rPr>
      <w:rFonts w:ascii="Times New Roman" w:hAnsi="Times New Roman" w:eastAsia="Times New Roman" w:cs="Times New Roman"/>
      <w:sz w:val="24"/>
      <w:szCs w:val="24"/>
      <w:lang w:val="en-US" w:eastAsia="zh-CN" w:bidi="ar-SA"/>
    </w:rPr>
  </w:style>
  <w:style w:type="paragraph" w:customStyle="1" w:styleId="143">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4">
    <w:name w:val="脚注引用_0"/>
    <w:semiHidden/>
    <w:qFormat/>
    <w:uiPriority w:val="0"/>
    <w:rPr>
      <w:rFonts w:ascii="Calibri" w:hAnsi="Calibri" w:eastAsia="宋体"/>
      <w:vertAlign w:val="superscript"/>
      <w:lang w:val="en-US" w:eastAsia="zh-CN" w:bidi="ar-SA"/>
    </w:rPr>
  </w:style>
  <w:style w:type="paragraph" w:customStyle="1" w:styleId="145">
    <w:name w:val="Normal_12"/>
    <w:qFormat/>
    <w:uiPriority w:val="0"/>
    <w:rPr>
      <w:rFonts w:ascii="Times New Roman" w:hAnsi="Times New Roman" w:eastAsia="Times New Roman" w:cs="Times New Roman"/>
      <w:sz w:val="24"/>
      <w:szCs w:val="24"/>
      <w:lang w:val="en-US" w:eastAsia="zh-CN" w:bidi="ar-SA"/>
    </w:rPr>
  </w:style>
  <w:style w:type="paragraph" w:customStyle="1" w:styleId="14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Normal_13"/>
    <w:qFormat/>
    <w:uiPriority w:val="0"/>
    <w:rPr>
      <w:rFonts w:ascii="Times New Roman" w:hAnsi="Times New Roman" w:eastAsia="Times New Roman" w:cs="Times New Roman"/>
      <w:sz w:val="24"/>
      <w:szCs w:val="24"/>
      <w:lang w:val="en-US" w:eastAsia="zh-CN" w:bidi="ar-SA"/>
    </w:rPr>
  </w:style>
  <w:style w:type="paragraph" w:customStyle="1" w:styleId="148">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日期_0"/>
    <w:basedOn w:val="148"/>
    <w:next w:val="148"/>
    <w:link w:val="150"/>
    <w:qFormat/>
    <w:uiPriority w:val="0"/>
    <w:rPr>
      <w:rFonts w:ascii="宋体" w:hAnsi="宋体"/>
      <w:szCs w:val="20"/>
    </w:rPr>
  </w:style>
  <w:style w:type="character" w:customStyle="1" w:styleId="150">
    <w:name w:val="日期 Char"/>
    <w:link w:val="149"/>
    <w:qFormat/>
    <w:uiPriority w:val="0"/>
    <w:rPr>
      <w:rFonts w:ascii="宋体" w:hAnsi="宋体"/>
      <w:kern w:val="2"/>
      <w:sz w:val="21"/>
      <w:lang w:val="en-US" w:eastAsia="zh-CN"/>
    </w:rPr>
  </w:style>
  <w:style w:type="paragraph" w:customStyle="1" w:styleId="151">
    <w:name w:val="Normal_14"/>
    <w:qFormat/>
    <w:uiPriority w:val="0"/>
    <w:rPr>
      <w:rFonts w:ascii="Times New Roman" w:hAnsi="Times New Roman" w:eastAsia="Times New Roman" w:cs="Times New Roman"/>
      <w:sz w:val="24"/>
      <w:szCs w:val="24"/>
      <w:lang w:val="en-US" w:eastAsia="zh-CN" w:bidi="ar-SA"/>
    </w:rPr>
  </w:style>
  <w:style w:type="paragraph" w:customStyle="1" w:styleId="15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15"/>
    <w:qFormat/>
    <w:uiPriority w:val="0"/>
    <w:rPr>
      <w:rFonts w:ascii="Times New Roman" w:hAnsi="Times New Roman" w:eastAsia="Times New Roman" w:cs="Times New Roman"/>
      <w:sz w:val="24"/>
      <w:szCs w:val="24"/>
      <w:lang w:val="en-US" w:eastAsia="zh-CN" w:bidi="ar-SA"/>
    </w:rPr>
  </w:style>
  <w:style w:type="paragraph" w:customStyle="1" w:styleId="154">
    <w:name w:val="正文_1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5">
    <w:name w:val="脚注引用_0_0"/>
    <w:semiHidden/>
    <w:qFormat/>
    <w:uiPriority w:val="0"/>
    <w:rPr>
      <w:rFonts w:ascii="Calibri" w:hAnsi="Calibri" w:eastAsia="宋体"/>
      <w:vertAlign w:val="superscript"/>
      <w:lang w:val="en-US" w:eastAsia="zh-CN" w:bidi="ar-SA"/>
    </w:rPr>
  </w:style>
  <w:style w:type="paragraph" w:customStyle="1" w:styleId="156">
    <w:name w:val="Normal_16"/>
    <w:qFormat/>
    <w:uiPriority w:val="0"/>
    <w:rPr>
      <w:rFonts w:ascii="黑体" w:hAnsi="黑体" w:eastAsia="黑体" w:cs="Times New Roman"/>
      <w:b/>
      <w:sz w:val="32"/>
      <w:szCs w:val="24"/>
      <w:lang w:val="en-US" w:eastAsia="zh-CN" w:bidi="ar-SA"/>
    </w:rPr>
  </w:style>
  <w:style w:type="paragraph" w:customStyle="1" w:styleId="15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Normal_17"/>
    <w:qFormat/>
    <w:uiPriority w:val="0"/>
    <w:rPr>
      <w:rFonts w:ascii="黑体" w:hAnsi="黑体" w:eastAsia="黑体" w:cs="Times New Roman"/>
      <w:b/>
      <w:sz w:val="32"/>
      <w:szCs w:val="24"/>
      <w:lang w:val="en-US" w:eastAsia="zh-CN" w:bidi="ar-SA"/>
    </w:rPr>
  </w:style>
  <w:style w:type="paragraph" w:customStyle="1" w:styleId="15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Normal_18"/>
    <w:qFormat/>
    <w:uiPriority w:val="0"/>
    <w:rPr>
      <w:rFonts w:ascii="黑体" w:hAnsi="黑体" w:eastAsia="黑体" w:cs="Times New Roman"/>
      <w:b/>
      <w:sz w:val="32"/>
      <w:szCs w:val="24"/>
      <w:lang w:val="en-US" w:eastAsia="zh-CN" w:bidi="ar-SA"/>
    </w:rPr>
  </w:style>
  <w:style w:type="paragraph" w:customStyle="1" w:styleId="161">
    <w:name w:val="Normal_19"/>
    <w:qFormat/>
    <w:uiPriority w:val="0"/>
    <w:rPr>
      <w:rFonts w:ascii="黑体" w:hAnsi="黑体" w:eastAsia="黑体" w:cs="Times New Roman"/>
      <w:b/>
      <w:sz w:val="32"/>
      <w:szCs w:val="24"/>
      <w:lang w:val="en-US" w:eastAsia="zh-CN" w:bidi="ar-SA"/>
    </w:rPr>
  </w:style>
  <w:style w:type="paragraph" w:customStyle="1" w:styleId="162">
    <w:name w:val="Normal_20"/>
    <w:qFormat/>
    <w:uiPriority w:val="0"/>
    <w:rPr>
      <w:rFonts w:ascii="黑体" w:hAnsi="黑体" w:eastAsia="黑体" w:cs="Times New Roman"/>
      <w:b/>
      <w:sz w:val="32"/>
      <w:szCs w:val="24"/>
      <w:lang w:val="en-US" w:eastAsia="zh-CN" w:bidi="ar-SA"/>
    </w:rPr>
  </w:style>
  <w:style w:type="paragraph" w:customStyle="1" w:styleId="163">
    <w:name w:val="Normal_21"/>
    <w:qFormat/>
    <w:uiPriority w:val="0"/>
    <w:rPr>
      <w:rFonts w:ascii="黑体" w:hAnsi="黑体" w:eastAsia="黑体" w:cs="Times New Roman"/>
      <w:b/>
      <w:sz w:val="32"/>
      <w:szCs w:val="24"/>
      <w:lang w:val="en-US" w:eastAsia="zh-CN" w:bidi="ar-SA"/>
    </w:rPr>
  </w:style>
  <w:style w:type="paragraph" w:customStyle="1" w:styleId="16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2"/>
    <w:qFormat/>
    <w:uiPriority w:val="0"/>
    <w:rPr>
      <w:rFonts w:ascii="黑体" w:hAnsi="黑体" w:eastAsia="黑体" w:cs="Times New Roman"/>
      <w:b/>
      <w:sz w:val="32"/>
      <w:szCs w:val="24"/>
      <w:lang w:val="en-US" w:eastAsia="zh-CN" w:bidi="ar-SA"/>
    </w:rPr>
  </w:style>
  <w:style w:type="paragraph" w:customStyle="1" w:styleId="166">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正文1"/>
    <w:qFormat/>
    <w:uiPriority w:val="0"/>
    <w:rPr>
      <w:rFonts w:ascii="Times New Roman" w:hAnsi="Times New Roman" w:eastAsia="Times New Roman" w:cs="Times New Roman"/>
      <w:sz w:val="24"/>
      <w:szCs w:val="24"/>
      <w:lang w:val="en-US" w:eastAsia="zh-CN" w:bidi="ar-SA"/>
    </w:rPr>
  </w:style>
  <w:style w:type="character" w:customStyle="1" w:styleId="168">
    <w:name w:val="apple-converted-space"/>
    <w:basedOn w:val="46"/>
    <w:qFormat/>
    <w:uiPriority w:val="0"/>
  </w:style>
  <w:style w:type="character" w:customStyle="1" w:styleId="169">
    <w:name w:val="文档结构图 字符"/>
    <w:link w:val="16"/>
    <w:semiHidden/>
    <w:qFormat/>
    <w:uiPriority w:val="0"/>
    <w:rPr>
      <w:kern w:val="2"/>
      <w:sz w:val="21"/>
      <w:szCs w:val="24"/>
      <w:shd w:val="clear" w:color="auto" w:fill="000080"/>
    </w:rPr>
  </w:style>
  <w:style w:type="character" w:customStyle="1" w:styleId="170">
    <w:name w:val="fontstyle01"/>
    <w:qFormat/>
    <w:uiPriority w:val="0"/>
    <w:rPr>
      <w:rFonts w:hint="default" w:ascii="TimesNewRomanPSMT" w:hAnsi="TimesNewRomanPSMT"/>
      <w:color w:val="000000"/>
      <w:sz w:val="24"/>
      <w:szCs w:val="24"/>
    </w:rPr>
  </w:style>
  <w:style w:type="character" w:customStyle="1" w:styleId="171">
    <w:name w:val="fontstyle21"/>
    <w:qFormat/>
    <w:uiPriority w:val="0"/>
    <w:rPr>
      <w:rFonts w:hint="eastAsia" w:ascii="宋体" w:hAnsi="宋体" w:eastAsia="宋体"/>
      <w:color w:val="000000"/>
      <w:sz w:val="24"/>
      <w:szCs w:val="24"/>
    </w:rPr>
  </w:style>
  <w:style w:type="character" w:customStyle="1" w:styleId="172">
    <w:name w:val="fontstyle31"/>
    <w:qFormat/>
    <w:uiPriority w:val="0"/>
    <w:rPr>
      <w:rFonts w:hint="eastAsia" w:ascii="黑体" w:hAnsi="黑体" w:eastAsia="黑体"/>
      <w:color w:val="000000"/>
      <w:sz w:val="22"/>
      <w:szCs w:val="22"/>
    </w:rPr>
  </w:style>
  <w:style w:type="character" w:customStyle="1" w:styleId="173">
    <w:name w:val="fontstyle41"/>
    <w:qFormat/>
    <w:uiPriority w:val="0"/>
    <w:rPr>
      <w:rFonts w:hint="eastAsia" w:ascii="隶书" w:eastAsia="隶书"/>
      <w:color w:val="000000"/>
      <w:sz w:val="24"/>
      <w:szCs w:val="24"/>
    </w:rPr>
  </w:style>
  <w:style w:type="character" w:customStyle="1" w:styleId="174">
    <w:name w:val="fontstyle11"/>
    <w:qFormat/>
    <w:uiPriority w:val="0"/>
    <w:rPr>
      <w:rFonts w:hint="default" w:ascii="TimesNewRomanPSMT" w:hAnsi="TimesNewRomanPSMT"/>
      <w:color w:val="000000"/>
      <w:sz w:val="24"/>
      <w:szCs w:val="24"/>
    </w:rPr>
  </w:style>
  <w:style w:type="paragraph" w:customStyle="1" w:styleId="175">
    <w:name w:val="Char Char4 Char Char Char Char"/>
    <w:basedOn w:val="1"/>
    <w:next w:val="1"/>
    <w:qFormat/>
    <w:uiPriority w:val="0"/>
  </w:style>
  <w:style w:type="paragraph" w:customStyle="1" w:styleId="176">
    <w:name w:val="footnote description"/>
    <w:next w:val="1"/>
    <w:link w:val="177"/>
    <w:qFormat/>
    <w:uiPriority w:val="0"/>
    <w:pPr>
      <w:spacing w:line="330" w:lineRule="auto"/>
      <w:ind w:left="180" w:hanging="180"/>
    </w:pPr>
    <w:rPr>
      <w:rFonts w:ascii="微软雅黑" w:hAnsi="微软雅黑" w:eastAsia="微软雅黑" w:cs="微软雅黑"/>
      <w:color w:val="000000"/>
      <w:kern w:val="2"/>
      <w:sz w:val="18"/>
      <w:szCs w:val="22"/>
      <w:lang w:val="en-US" w:eastAsia="zh-CN" w:bidi="ar-SA"/>
    </w:rPr>
  </w:style>
  <w:style w:type="character" w:customStyle="1" w:styleId="177">
    <w:name w:val="footnote description Char"/>
    <w:link w:val="176"/>
    <w:qFormat/>
    <w:uiPriority w:val="0"/>
    <w:rPr>
      <w:rFonts w:ascii="微软雅黑" w:hAnsi="微软雅黑" w:eastAsia="微软雅黑" w:cs="微软雅黑"/>
      <w:color w:val="000000"/>
      <w:kern w:val="2"/>
      <w:sz w:val="18"/>
      <w:szCs w:val="22"/>
    </w:rPr>
  </w:style>
  <w:style w:type="paragraph" w:customStyle="1" w:styleId="178">
    <w:name w:val="列出段落1"/>
    <w:basedOn w:val="1"/>
    <w:qFormat/>
    <w:uiPriority w:val="0"/>
    <w:pPr>
      <w:ind w:firstLine="420" w:firstLineChars="200"/>
    </w:pPr>
    <w:rPr>
      <w:rFonts w:ascii="Calibri" w:hAnsi="Calibri"/>
      <w:szCs w:val="22"/>
    </w:rPr>
  </w:style>
  <w:style w:type="character" w:customStyle="1" w:styleId="179">
    <w:name w:val="未处理的提及1"/>
    <w:semiHidden/>
    <w:unhideWhenUsed/>
    <w:qFormat/>
    <w:uiPriority w:val="99"/>
    <w:rPr>
      <w:color w:val="605E5C"/>
      <w:shd w:val="clear" w:color="auto" w:fill="E1DFDD"/>
    </w:rPr>
  </w:style>
  <w:style w:type="character" w:customStyle="1" w:styleId="180">
    <w:name w:val="标题 2 字符"/>
    <w:qFormat/>
    <w:uiPriority w:val="0"/>
    <w:rPr>
      <w:rFonts w:ascii="Arial" w:hAnsi="Arial" w:eastAsia="黑体" w:cs="Times New Roman"/>
      <w:b/>
      <w:bCs/>
      <w:sz w:val="32"/>
      <w:szCs w:val="32"/>
    </w:rPr>
  </w:style>
  <w:style w:type="character" w:customStyle="1" w:styleId="181">
    <w:name w:val="标题 5 字符"/>
    <w:qFormat/>
    <w:uiPriority w:val="0"/>
    <w:rPr>
      <w:rFonts w:ascii="Times New Roman" w:hAnsi="Times New Roman" w:eastAsia="宋体" w:cs="Times New Roman"/>
      <w:b/>
      <w:bCs/>
      <w:sz w:val="28"/>
      <w:szCs w:val="28"/>
    </w:rPr>
  </w:style>
  <w:style w:type="character" w:customStyle="1" w:styleId="182">
    <w:name w:val="标题 6 字符"/>
    <w:qFormat/>
    <w:uiPriority w:val="0"/>
    <w:rPr>
      <w:rFonts w:ascii="Arial" w:hAnsi="Arial" w:eastAsia="黑体" w:cs="Times New Roman"/>
      <w:b/>
      <w:bCs/>
      <w:sz w:val="24"/>
      <w:szCs w:val="24"/>
    </w:rPr>
  </w:style>
  <w:style w:type="character" w:customStyle="1" w:styleId="183">
    <w:name w:val="页眉 字符"/>
    <w:qFormat/>
    <w:uiPriority w:val="0"/>
    <w:rPr>
      <w:rFonts w:ascii="Times New Roman" w:hAnsi="Times New Roman" w:eastAsia="宋体" w:cs="Times New Roman"/>
      <w:sz w:val="18"/>
      <w:szCs w:val="18"/>
    </w:rPr>
  </w:style>
  <w:style w:type="character" w:customStyle="1" w:styleId="184">
    <w:name w:val="页脚 字符"/>
    <w:qFormat/>
    <w:uiPriority w:val="99"/>
    <w:rPr>
      <w:rFonts w:ascii="Times New Roman" w:hAnsi="Times New Roman" w:eastAsia="宋体" w:cs="Times New Roman"/>
      <w:sz w:val="18"/>
      <w:szCs w:val="18"/>
    </w:rPr>
  </w:style>
  <w:style w:type="character" w:customStyle="1" w:styleId="185">
    <w:name w:val="纯文本 字符"/>
    <w:qFormat/>
    <w:uiPriority w:val="0"/>
    <w:rPr>
      <w:rFonts w:ascii="宋体" w:hAnsi="Courier New" w:eastAsia="宋体" w:cs="Courier New"/>
      <w:kern w:val="0"/>
      <w:sz w:val="24"/>
      <w:szCs w:val="21"/>
    </w:rPr>
  </w:style>
  <w:style w:type="character" w:styleId="186">
    <w:name w:val="Placeholder Text"/>
    <w:basedOn w:val="46"/>
    <w:semiHidden/>
    <w:qFormat/>
    <w:uiPriority w:val="99"/>
    <w:rPr>
      <w:color w:val="808080"/>
    </w:rPr>
  </w:style>
  <w:style w:type="character" w:customStyle="1" w:styleId="187">
    <w:name w:val="尾注文本 字符"/>
    <w:basedOn w:val="46"/>
    <w:link w:val="27"/>
    <w:semiHidden/>
    <w:qFormat/>
    <w:uiPriority w:val="0"/>
    <w:rPr>
      <w:kern w:val="2"/>
      <w:sz w:val="21"/>
      <w:szCs w:val="24"/>
    </w:rPr>
  </w:style>
  <w:style w:type="character" w:customStyle="1" w:styleId="188">
    <w:name w:val="段 Char"/>
    <w:link w:val="81"/>
    <w:qFormat/>
    <w:uiPriority w:val="0"/>
    <w:rPr>
      <w:rFonts w:ascii="宋体"/>
      <w:sz w:val="21"/>
    </w:rPr>
  </w:style>
  <w:style w:type="paragraph" w:customStyle="1" w:styleId="189">
    <w:name w:val="Table Paragraph"/>
    <w:basedOn w:val="121"/>
    <w:qFormat/>
    <w:uiPriority w:val="1"/>
    <w:pPr>
      <w:widowControl/>
    </w:pPr>
    <w:rPr>
      <w:rFonts w:ascii="宋体" w:hAnsi="宋体" w:cs="宋体"/>
      <w:kern w:val="0"/>
      <w:sz w:val="22"/>
      <w:szCs w:val="22"/>
      <w:lang w:eastAsia="en-US"/>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2">
    <w:name w:val="cf01"/>
    <w:basedOn w:val="46"/>
    <w:qFormat/>
    <w:uiPriority w:val="0"/>
    <w:rPr>
      <w:rFonts w:hint="default" w:ascii="Microsoft YaHei UI" w:hAnsi="Microsoft YaHei UI"/>
      <w:sz w:val="18"/>
      <w:szCs w:val="18"/>
    </w:rPr>
  </w:style>
  <w:style w:type="character" w:customStyle="1" w:styleId="193">
    <w:name w:val="cf11"/>
    <w:basedOn w:val="46"/>
    <w:qFormat/>
    <w:uiPriority w:val="0"/>
    <w:rPr>
      <w:rFonts w:hint="default" w:ascii="Microsoft YaHei UI" w:hAnsi="Microsoft YaHei UI"/>
      <w:sz w:val="18"/>
      <w:szCs w:val="18"/>
    </w:rPr>
  </w:style>
  <w:style w:type="character" w:customStyle="1" w:styleId="194">
    <w:name w:val="未处理的提及2"/>
    <w:basedOn w:val="46"/>
    <w:semiHidden/>
    <w:unhideWhenUsed/>
    <w:qFormat/>
    <w:uiPriority w:val="99"/>
    <w:rPr>
      <w:color w:val="605E5C"/>
      <w:shd w:val="clear" w:color="auto" w:fill="E1DFDD"/>
    </w:rPr>
  </w:style>
  <w:style w:type="paragraph" w:customStyle="1" w:styleId="195">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96">
    <w:name w:val="未处理的提及3"/>
    <w:basedOn w:val="46"/>
    <w:semiHidden/>
    <w:unhideWhenUsed/>
    <w:qFormat/>
    <w:uiPriority w:val="99"/>
    <w:rPr>
      <w:color w:val="605E5C"/>
      <w:shd w:val="clear" w:color="auto" w:fill="E1DFDD"/>
    </w:rPr>
  </w:style>
  <w:style w:type="paragraph" w:customStyle="1" w:styleId="19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8">
    <w:name w:val="TOC 标题2"/>
    <w:basedOn w:val="4"/>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color w:val="366091"/>
      <w:kern w:val="0"/>
      <w:sz w:val="28"/>
      <w:szCs w:val="28"/>
    </w:rPr>
  </w:style>
  <w:style w:type="paragraph" w:customStyle="1" w:styleId="199">
    <w:name w:val="[Normal]"/>
    <w:qFormat/>
    <w:uiPriority w:val="0"/>
    <w:rPr>
      <w:rFonts w:ascii="宋体" w:hAnsi="宋体" w:eastAsia="宋体" w:cs="Times New Roman"/>
      <w:sz w:val="24"/>
      <w:szCs w:val="22"/>
      <w:lang w:val="zh-CN" w:eastAsia="zh-CN" w:bidi="ar-SA"/>
    </w:rPr>
  </w:style>
  <w:style w:type="paragraph" w:customStyle="1" w:styleId="200">
    <w:name w:val="正文_0_0_0_0_0"/>
    <w:basedOn w:val="121"/>
    <w:qFormat/>
    <w:uiPriority w:val="0"/>
    <w:rPr>
      <w:rFonts w:ascii="Times New Roman" w:hAnsi="Times New Roman"/>
    </w:rPr>
  </w:style>
  <w:style w:type="paragraph" w:customStyle="1" w:styleId="201">
    <w:name w:val="正文_0_1_0"/>
    <w:basedOn w:val="121"/>
    <w:qFormat/>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zhuwr</Manager>
  <Company>www.zjt.gov.cn</Company>
  <Pages>158</Pages>
  <Words>8254</Words>
  <Characters>9750</Characters>
  <Lines>1283</Lines>
  <Paragraphs>361</Paragraphs>
  <TotalTime>0</TotalTime>
  <ScaleCrop>false</ScaleCrop>
  <LinksUpToDate>false</LinksUpToDate>
  <CharactersWithSpaces>10361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2024-01-08T23:14:00Z</dcterms:created>
  <dc:creator>Zheng Miaodong</dc:creator>
  <cp:lastModifiedBy>蓝华鑫</cp:lastModifiedBy>
  <cp:lastPrinted>2024-01-08T23:05:00Z</cp:lastPrinted>
  <dcterms:modified xsi:type="dcterms:W3CDTF">2026-05-28T01:05:57Z</dcterms:modified>
  <dc:subject>施工标准文件</dc:subject>
  <dc:title>浙江省施工标准文件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54480AC46DE88C1E23019565175BF6A2</vt:lpwstr>
  </property>
  <property fmtid="{D5CDD505-2E9C-101B-9397-08002B2CF9AE}" pid="4" name="KSOTemplateDocerSaveRecord">
    <vt:lpwstr>eyJoZGlkIjoiODYwMmUwYTE4NGFkOWQ2ZmE4OTZhYjU4ODk1YzMyM2YiLCJ1c2VySWQiOiIzMDExODYxMjQifQ==</vt:lpwstr>
  </property>
</Properties>
</file>